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22338751"/>
    <w:p w14:paraId="067AE3FE" w14:textId="77777777" w:rsidR="008D5A0D" w:rsidRDefault="008B5717" w:rsidP="00F145A0">
      <w:pPr>
        <w:jc w:val="right"/>
      </w:pPr>
      <w:sdt>
        <w:sdtPr>
          <w:rPr>
            <w:noProof/>
          </w:rPr>
          <w:alias w:val="Insert Logo"/>
          <w:tag w:val="Insert Logo"/>
          <w:id w:val="-1871138787"/>
          <w:lock w:val="sdtLocked"/>
          <w:picture/>
        </w:sdtPr>
        <w:sdtEndPr/>
        <w:sdtContent>
          <w:r w:rsidR="005E5BFB">
            <w:rPr>
              <w:noProof/>
              <w:lang w:val="fr-BE" w:eastAsia="fr-BE"/>
            </w:rPr>
            <w:drawing>
              <wp:inline distT="0" distB="0" distL="0" distR="0" wp14:anchorId="1AECD7C6" wp14:editId="0B1E92FC">
                <wp:extent cx="2085874" cy="521468"/>
                <wp:effectExtent l="0" t="0" r="0" b="0"/>
                <wp:docPr id="9" name="Picture 9" descr="A picture containing 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A picture containing graphical user interfac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963" cy="532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70F5A662" w14:textId="16A098D3" w:rsidR="00767438" w:rsidRPr="00647ACC" w:rsidRDefault="004616E2" w:rsidP="00244682">
      <w:pPr>
        <w:rPr>
          <w:sz w:val="21"/>
          <w:szCs w:val="21"/>
        </w:rPr>
      </w:pPr>
      <w:r>
        <w:rPr>
          <w:rStyle w:val="CCNormal"/>
          <w:sz w:val="21"/>
          <w:szCs w:val="21"/>
        </w:rPr>
        <w:t>19/12/2022</w:t>
      </w:r>
    </w:p>
    <w:p w14:paraId="1AFCE216" w14:textId="26DA497A" w:rsidR="00182716" w:rsidRPr="00647ACC" w:rsidRDefault="00647ACC" w:rsidP="00B22284">
      <w:pPr>
        <w:rPr>
          <w:rStyle w:val="CCType"/>
          <w:sz w:val="44"/>
          <w:szCs w:val="28"/>
        </w:rPr>
      </w:pPr>
      <w:r>
        <w:rPr>
          <w:rStyle w:val="CCType"/>
          <w:sz w:val="44"/>
          <w:szCs w:val="28"/>
        </w:rPr>
        <w:t>Comunicato stampa</w:t>
      </w:r>
    </w:p>
    <w:p w14:paraId="5D12DA2D" w14:textId="77777777" w:rsidR="00647ACC" w:rsidRPr="00647ACC" w:rsidRDefault="00647ACC" w:rsidP="00647ACC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Il Copa e la Cogeca accolgono con favore l'adozione da parte del Consiglio di un invito a condurre una valutazione d'impatto complementare sulla proposta di regolamento sull'uso sostenibile dei prodotti fitosanitari "SUR".</w:t>
      </w:r>
    </w:p>
    <w:p w14:paraId="7AD11BB5" w14:textId="77777777" w:rsidR="00647ACC" w:rsidRPr="00647ACC" w:rsidRDefault="00647ACC" w:rsidP="00647ACC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Il Copa e la Cogeca sostengono tutte le richieste indicate nell'articolo 1 della decisione del Consiglio adottata e condividono le preoccupazioni del Consiglio in merito alla mancata considerazione degli effetti dell'invasione dell'Ucraina e degli attuali prezzi dell'energia e dei prodotti alimentari nel potenziale impatto della strategia "Dal produttore al consumatore" e della proposta di regolamento sull'uso sostenibile dei prodotti fitosanitari (SUR) sull'agricoltura dell'UE.</w:t>
      </w:r>
    </w:p>
    <w:p w14:paraId="4320E97D" w14:textId="5936C814" w:rsidR="00647ACC" w:rsidRPr="00647ACC" w:rsidRDefault="00647ACC" w:rsidP="00647ACC">
      <w:pPr>
        <w:rPr>
          <w:sz w:val="21"/>
          <w:szCs w:val="21"/>
        </w:rPr>
      </w:pPr>
      <w:r>
        <w:rPr>
          <w:sz w:val="21"/>
          <w:szCs w:val="21"/>
        </w:rPr>
        <w:t xml:space="preserve">In </w:t>
      </w:r>
      <w:r w:rsidR="00854D5F">
        <w:rPr>
          <w:sz w:val="21"/>
          <w:szCs w:val="21"/>
        </w:rPr>
        <w:t>seguito alla</w:t>
      </w:r>
      <w:r>
        <w:rPr>
          <w:sz w:val="21"/>
          <w:szCs w:val="21"/>
        </w:rPr>
        <w:t xml:space="preserve"> pubblicazione, il 22 giugno, delle proposte della Commissione europea per una legge sul ripristino della natura e per dimezzare l'uso dei pesticidi entro il 2030, il Copa e la Cogeca hanno preso atto della decisione del collegio dei commissari, di condurre "un'analisi completa dei fattori che determinano la sicurezza dell'approvvigionamento alimentare in tutte le sue dimensioni". Questa decisione è rilevante e segnala che le proposte presentate a giugno potrebbero avere conseguenze sulla sicurezza alimentare che meritano un'analisi più approfondita. </w:t>
      </w:r>
    </w:p>
    <w:p w14:paraId="60AA2844" w14:textId="77777777" w:rsidR="00647ACC" w:rsidRPr="00647ACC" w:rsidRDefault="00647ACC" w:rsidP="00647ACC">
      <w:pPr>
        <w:rPr>
          <w:i/>
          <w:iCs/>
          <w:sz w:val="21"/>
          <w:szCs w:val="21"/>
        </w:rPr>
      </w:pPr>
      <w:r>
        <w:rPr>
          <w:sz w:val="21"/>
          <w:szCs w:val="21"/>
        </w:rPr>
        <w:t xml:space="preserve">Il Vicepresidente del Copa, Pedro </w:t>
      </w:r>
      <w:proofErr w:type="spellStart"/>
      <w:r>
        <w:rPr>
          <w:sz w:val="21"/>
          <w:szCs w:val="21"/>
        </w:rPr>
        <w:t>Gallardo</w:t>
      </w:r>
      <w:proofErr w:type="spellEnd"/>
      <w:r>
        <w:rPr>
          <w:sz w:val="21"/>
          <w:szCs w:val="21"/>
        </w:rPr>
        <w:t xml:space="preserve"> ha dichiarato: "</w:t>
      </w:r>
      <w:r>
        <w:rPr>
          <w:i/>
          <w:iCs/>
          <w:sz w:val="21"/>
          <w:szCs w:val="21"/>
        </w:rPr>
        <w:t>Alla luce delle circostanze attuali (guerra in Ucraina, dipendenza dell'UE dall'importazione di fattori di produzione agricola, come energia e fertilizzanti, e l'aumento dei prezzi degli alimenti in molti paesi), è fondamentale che le rese agricole rimangano stabili per produrre quantità sufficienti di prodotti di alta qualità e a prezzi accessibili. Per molti anni, la società ha dato per scontata la sicurezza dell'approvvigionamento e l'accessibilità alimentare, ma le conseguenze globali della situazione attuale sono diventate preoccupanti anche nell'UE, come dimostrano gli ultimi dati sull'inflazione annuale. Il Copa e la Cogeca sostengono inequivocabilmente le richieste di una valutazione d'impatto complementare per verificare se la proposta del SUR sia realizzabile nei tempi proposti dalla Commissione. Incoraggiamo quindi la Commissione a sviluppare un metodo per tenere in considerazione quanto già fatto in termini di innovazione e di applicazione della difesa fitosanitaria integrata nelle aziende agricole, come per la misurazione e fissazione degli obiettivi."</w:t>
      </w:r>
    </w:p>
    <w:p w14:paraId="7AD799F5" w14:textId="77777777" w:rsidR="00647ACC" w:rsidRPr="00647ACC" w:rsidRDefault="00647ACC" w:rsidP="00647ACC">
      <w:pPr>
        <w:rPr>
          <w:sz w:val="21"/>
          <w:szCs w:val="21"/>
        </w:rPr>
      </w:pPr>
      <w:r>
        <w:rPr>
          <w:sz w:val="21"/>
          <w:szCs w:val="21"/>
        </w:rPr>
        <w:t xml:space="preserve">Il Copa e la Cogeca riconoscono le azioni intraprese dalla Commissione per utilizzare tutti i terreni disponibili dell'UE insieme a una serie di misure a breve termine per sostenere gli agricoltori e mantenere l'accessibilità economica per i cittadini, tuttavia la </w:t>
      </w:r>
      <w:r>
        <w:rPr>
          <w:sz w:val="21"/>
          <w:szCs w:val="21"/>
        </w:rPr>
        <w:lastRenderedPageBreak/>
        <w:t xml:space="preserve">realtà che l'UE e il mondo intero si trovano ad affrontare è cambiata dal dicembre 2019 (Green Deal dell'UE) e dal maggio 2020 (strategia "Dal produttore al consumatore" e per la biodiversità). </w:t>
      </w:r>
    </w:p>
    <w:p w14:paraId="3C3A435E" w14:textId="77777777" w:rsidR="00647ACC" w:rsidRPr="00647ACC" w:rsidRDefault="00647ACC" w:rsidP="00647ACC">
      <w:pPr>
        <w:rPr>
          <w:sz w:val="21"/>
          <w:szCs w:val="21"/>
        </w:rPr>
      </w:pPr>
      <w:r>
        <w:rPr>
          <w:sz w:val="21"/>
          <w:szCs w:val="21"/>
        </w:rPr>
        <w:t>Nell'attuale situazione politica precaria, il Copa e la Cogeca ritengono che l'UE debba concentrarsi più che mai sull'obiettivo di garantire la sicurezza alimentare, invece di agire a spese della nostra produzione. Ad esempio, gli studi pubblicati l'anno scorso (CCR</w:t>
      </w:r>
      <w:r w:rsidRPr="008B5717">
        <w:rPr>
          <w:sz w:val="21"/>
          <w:szCs w:val="21"/>
          <w:vertAlign w:val="superscript"/>
        </w:rPr>
        <w:footnoteReference w:id="1"/>
      </w:r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Wageningen</w:t>
      </w:r>
      <w:proofErr w:type="spellEnd"/>
      <w:r>
        <w:rPr>
          <w:sz w:val="21"/>
          <w:szCs w:val="21"/>
        </w:rPr>
        <w:t>, USDA</w:t>
      </w:r>
      <w:r w:rsidRPr="008B5717">
        <w:rPr>
          <w:sz w:val="21"/>
          <w:szCs w:val="21"/>
          <w:vertAlign w:val="superscript"/>
        </w:rPr>
        <w:footnoteReference w:id="2"/>
      </w:r>
      <w:r>
        <w:rPr>
          <w:sz w:val="21"/>
          <w:szCs w:val="21"/>
        </w:rPr>
        <w:t xml:space="preserve">, COCERAL, </w:t>
      </w:r>
      <w:proofErr w:type="spellStart"/>
      <w:r>
        <w:rPr>
          <w:sz w:val="21"/>
          <w:szCs w:val="21"/>
        </w:rPr>
        <w:t>Euroseeds</w:t>
      </w:r>
      <w:proofErr w:type="spellEnd"/>
      <w:r>
        <w:rPr>
          <w:sz w:val="21"/>
          <w:szCs w:val="21"/>
        </w:rPr>
        <w:t>, Università di Kiel</w:t>
      </w:r>
      <w:r w:rsidRPr="008B5717">
        <w:rPr>
          <w:sz w:val="21"/>
          <w:szCs w:val="21"/>
          <w:vertAlign w:val="superscript"/>
        </w:rPr>
        <w:footnoteReference w:id="3"/>
      </w:r>
      <w:r>
        <w:rPr>
          <w:sz w:val="21"/>
          <w:szCs w:val="21"/>
        </w:rPr>
        <w:t>, INRAE, HFFA</w:t>
      </w:r>
      <w:bookmarkStart w:id="1" w:name="_GoBack"/>
      <w:r w:rsidRPr="008B5717">
        <w:rPr>
          <w:sz w:val="21"/>
          <w:szCs w:val="21"/>
          <w:vertAlign w:val="superscript"/>
        </w:rPr>
        <w:footnoteReference w:id="4"/>
      </w:r>
      <w:bookmarkEnd w:id="1"/>
      <w:r>
        <w:rPr>
          <w:sz w:val="21"/>
          <w:szCs w:val="21"/>
        </w:rPr>
        <w:t xml:space="preserve">) hanno rivelato qualcosa di preoccupante: la produzione agricola nell'UE diminuirà drasticamente, i prezzi e il reddito degli agricoltori verranno fortemente colpiti, mentre i vantaggi ambientali saranno molto limitati a causa degli effetti sulla sicurezza dell'approvvigionamento alimentare e la sostenibilità, dovuti alla rilocalizzazione verso paesi terzi. </w:t>
      </w:r>
    </w:p>
    <w:p w14:paraId="22372E43" w14:textId="1B5DAE36" w:rsidR="00647ACC" w:rsidRPr="00647ACC" w:rsidRDefault="00647ACC" w:rsidP="00647ACC">
      <w:pPr>
        <w:rPr>
          <w:sz w:val="21"/>
          <w:szCs w:val="21"/>
        </w:rPr>
      </w:pPr>
      <w:r>
        <w:rPr>
          <w:sz w:val="21"/>
          <w:szCs w:val="21"/>
        </w:rPr>
        <w:t>Inoltre, la dipendenza dell'UE dalle importazioni di derrate alimentari aumenterà considerevolmente e alcuni studi prevedono che l'UE diventerà un importatore netto. È quindi importante che la Commissione tenga conto dell'attuale situazione socio-politica prima di applicare qualsiasi politica che infliggerebbe un duro colpo alla produzione agricola dell'UE. Inoltre, i legislatori dovrebbero valutare adeguatamente i progressi già compiuti dagli agricoltori dell'UE fino ad oggi rispetto all'uso sostenibile dei pesticidi. In Europa, l'uso e il rischio dei pesticidi sono diminuiti significativamente negli ultimi 50 anni</w:t>
      </w:r>
      <w:r w:rsidRPr="008B5717">
        <w:rPr>
          <w:sz w:val="21"/>
          <w:szCs w:val="21"/>
          <w:vertAlign w:val="superscript"/>
        </w:rPr>
        <w:footnoteReference w:id="5"/>
      </w:r>
      <w:r>
        <w:rPr>
          <w:sz w:val="21"/>
          <w:szCs w:val="21"/>
        </w:rPr>
        <w:t xml:space="preserve">. </w:t>
      </w:r>
    </w:p>
    <w:p w14:paraId="39F69443" w14:textId="77777777" w:rsidR="00647ACC" w:rsidRPr="00647ACC" w:rsidRDefault="00647ACC" w:rsidP="00647ACC">
      <w:pPr>
        <w:rPr>
          <w:sz w:val="21"/>
          <w:szCs w:val="21"/>
        </w:rPr>
      </w:pPr>
      <w:r>
        <w:rPr>
          <w:sz w:val="21"/>
          <w:szCs w:val="21"/>
        </w:rPr>
        <w:t xml:space="preserve">La sicurezza alimentare è altamente strategica e ancora molto rilevante; pertanto, il Green Deal dell'UE non può essere attuato a spese della produzione europea. Le istituzioni dell'UE devono accelerare il lavoro in corso per fornire all'agricoltura dell'UE gli strumenti necessari per raggiungere questi obiettivi, senza ridurre la nostra produzione; le transizioni devono essere messe in atto insieme agli agricoltori sul campo, tramite un dialogo continuo tra gli agricoltori e le istituzioni dell'UE. </w:t>
      </w:r>
    </w:p>
    <w:p w14:paraId="156DAD56" w14:textId="77777777" w:rsidR="00925C9C" w:rsidRPr="00647ACC" w:rsidRDefault="00925C9C" w:rsidP="00235A0D">
      <w:pPr>
        <w:rPr>
          <w:sz w:val="21"/>
          <w:szCs w:val="21"/>
        </w:rPr>
      </w:pPr>
    </w:p>
    <w:p w14:paraId="2B9F7198" w14:textId="421EDC9F" w:rsidR="00182716" w:rsidRPr="00647ACC" w:rsidRDefault="008B5717" w:rsidP="00244682">
      <w:pPr>
        <w:rPr>
          <w:b/>
          <w:bCs/>
          <w:color w:val="697331"/>
          <w:sz w:val="21"/>
          <w:szCs w:val="21"/>
        </w:rPr>
      </w:pPr>
      <w:sdt>
        <w:sdtPr>
          <w:rPr>
            <w:b/>
            <w:bCs/>
            <w:color w:val="697331"/>
            <w:sz w:val="21"/>
            <w:szCs w:val="21"/>
          </w:rPr>
          <w:id w:val="636535682"/>
          <w:placeholder>
            <w:docPart w:val="147F21ED28354AA8B31EE2810B1AA437"/>
          </w:placeholder>
          <w:temporary/>
        </w:sdtPr>
        <w:sdtEndPr/>
        <w:sdtContent>
          <w:r w:rsidR="005E5BFB">
            <w:rPr>
              <w:b/>
              <w:bCs/>
              <w:color w:val="697331"/>
              <w:sz w:val="21"/>
              <w:szCs w:val="21"/>
            </w:rPr>
            <w:t>-FINE-</w:t>
          </w:r>
        </w:sdtContent>
      </w:sdt>
      <w:r w:rsidR="005E5BFB">
        <w:rPr>
          <w:b/>
          <w:bCs/>
          <w:color w:val="697331"/>
          <w:sz w:val="21"/>
          <w:szCs w:val="21"/>
        </w:rPr>
        <w:t xml:space="preserve"> </w:t>
      </w:r>
    </w:p>
    <w:p w14:paraId="35028931" w14:textId="77777777" w:rsidR="004616E2" w:rsidRPr="00854D5F" w:rsidRDefault="004616E2" w:rsidP="00244682">
      <w:pPr>
        <w:rPr>
          <w:b/>
          <w:bCs/>
          <w:color w:val="697331"/>
          <w:sz w:val="21"/>
          <w:szCs w:val="21"/>
        </w:rPr>
      </w:pPr>
    </w:p>
    <w:p w14:paraId="22112D9D" w14:textId="77777777" w:rsidR="004616E2" w:rsidRPr="00647ACC" w:rsidRDefault="004616E2" w:rsidP="004616E2">
      <w:pPr>
        <w:spacing w:after="200"/>
        <w:rPr>
          <w:sz w:val="21"/>
          <w:szCs w:val="21"/>
        </w:rPr>
      </w:pPr>
      <w:r>
        <w:rPr>
          <w:sz w:val="21"/>
          <w:szCs w:val="21"/>
        </w:rPr>
        <w:t>Questo documento è disponibile sul sito internet del Copa-Cogeca in tedesco, spagnolo, francese, inglese, polacco e rumeno.</w:t>
      </w:r>
    </w:p>
    <w:p w14:paraId="0FA5C74A" w14:textId="77777777" w:rsidR="004616E2" w:rsidRPr="00854D5F" w:rsidRDefault="004616E2" w:rsidP="00244682"/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147F21ED28354AA8B31EE2810B1AA437"/>
        </w:placeholder>
      </w:sdtPr>
      <w:sdtEndPr/>
      <w:sdtContent>
        <w:p w14:paraId="46ADFF43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EF98F09" wp14:editId="36F11CAB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BA88E5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</w:rPr>
        <w:id w:val="2040863808"/>
        <w:placeholder>
          <w:docPart w:val="147F21ED28354AA8B31EE2810B1AA437"/>
        </w:placeholder>
        <w:temporary/>
      </w:sdtPr>
      <w:sdtEndPr>
        <w:rPr>
          <w:rStyle w:val="CCNormal"/>
        </w:rPr>
      </w:sdtEndPr>
      <w:sdtContent>
        <w:p w14:paraId="1C269425" w14:textId="77777777" w:rsidR="00445C22" w:rsidRPr="00B953B8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Style w:val="CCNormal"/>
            </w:rPr>
            <w:t>Per maggiori informazioni, si prega di contattare: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14:paraId="2FE642C6" w14:textId="77777777" w:rsidTr="00716D7C">
        <w:tc>
          <w:tcPr>
            <w:tcW w:w="4253" w:type="dxa"/>
          </w:tcPr>
          <w:p w14:paraId="0F0E2204" w14:textId="2BA2D8D3" w:rsidR="00E6727E" w:rsidRPr="00647ACC" w:rsidRDefault="00647ACC" w:rsidP="00B953B8">
            <w:pPr>
              <w:pStyle w:val="NoSpacing"/>
            </w:pPr>
            <w:r>
              <w:t>Paula De Vera</w:t>
            </w:r>
          </w:p>
          <w:p w14:paraId="2C3BAD60" w14:textId="36076F91" w:rsidR="00E6727E" w:rsidRPr="00B953B8" w:rsidRDefault="004616E2" w:rsidP="00B953B8">
            <w:pPr>
              <w:pStyle w:val="NoSpacing"/>
              <w:rPr>
                <w:rStyle w:val="CCNoSpacing"/>
              </w:rPr>
            </w:pPr>
            <w:r>
              <w:rPr>
                <w:rStyle w:val="CCNoSpacing"/>
              </w:rPr>
              <w:t>Senior Policy Advisor</w:t>
            </w:r>
          </w:p>
          <w:p w14:paraId="0876FF04" w14:textId="12A537A4" w:rsidR="00E6727E" w:rsidRPr="00B953B8" w:rsidRDefault="00647ACC" w:rsidP="00B953B8">
            <w:r>
              <w:rPr>
                <w:rStyle w:val="Hyperlink"/>
              </w:rPr>
              <w:t>Paula.deVera@copa-cogeca.eu</w:t>
            </w:r>
          </w:p>
        </w:tc>
        <w:tc>
          <w:tcPr>
            <w:tcW w:w="4763" w:type="dxa"/>
          </w:tcPr>
          <w:p w14:paraId="5821E656" w14:textId="416D4EA0" w:rsidR="00E6727E" w:rsidRPr="00B953B8" w:rsidRDefault="00647ACC" w:rsidP="00B953B8">
            <w:pPr>
              <w:pStyle w:val="NoSpacing"/>
            </w:pPr>
            <w:r>
              <w:t>Jean-</w:t>
            </w:r>
            <w:proofErr w:type="spellStart"/>
            <w:r>
              <w:t>Baptiste</w:t>
            </w:r>
            <w:proofErr w:type="spellEnd"/>
            <w:r>
              <w:t xml:space="preserve"> </w:t>
            </w:r>
            <w:proofErr w:type="spellStart"/>
            <w:r>
              <w:t>Boucher</w:t>
            </w:r>
            <w:proofErr w:type="spellEnd"/>
          </w:p>
          <w:p w14:paraId="278E5FB0" w14:textId="3E8035E5" w:rsidR="00E6727E" w:rsidRPr="00B953B8" w:rsidRDefault="00647ACC" w:rsidP="00B953B8">
            <w:pPr>
              <w:pStyle w:val="NoSpacing"/>
            </w:pPr>
            <w:r>
              <w:t>Direttore per la comunicazione</w:t>
            </w:r>
          </w:p>
          <w:p w14:paraId="1BF9B2BD" w14:textId="16831014" w:rsidR="00E6727E" w:rsidRPr="00647ACC" w:rsidRDefault="004616E2" w:rsidP="00B953B8">
            <w:pPr>
              <w:pStyle w:val="NoSpacing"/>
            </w:pPr>
            <w:r>
              <w:t>+32 474 840 836</w:t>
            </w:r>
          </w:p>
          <w:p w14:paraId="554AC14B" w14:textId="68DC067F" w:rsidR="00E6727E" w:rsidRPr="00B953B8" w:rsidRDefault="00647ACC" w:rsidP="00B953B8">
            <w:r>
              <w:rPr>
                <w:rStyle w:val="Hyperlink"/>
              </w:rPr>
              <w:t>Jean-Baptiste.Boucher@copa-cogeca.eu</w:t>
            </w:r>
          </w:p>
        </w:tc>
      </w:tr>
      <w:bookmarkEnd w:id="0"/>
    </w:tbl>
    <w:p w14:paraId="1E5AC2B8" w14:textId="77777777" w:rsidR="00E6727E" w:rsidRPr="00235A0D" w:rsidRDefault="00E6727E" w:rsidP="00235A0D"/>
    <w:sectPr w:rsidR="00E6727E" w:rsidRPr="00235A0D" w:rsidSect="0056456D">
      <w:headerReference w:type="default" r:id="rId12"/>
      <w:footerReference w:type="default" r:id="rId13"/>
      <w:pgSz w:w="11906" w:h="16838"/>
      <w:pgMar w:top="1440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403CB" w14:textId="77777777" w:rsidR="00883377" w:rsidRPr="00716D7C" w:rsidRDefault="00883377" w:rsidP="00716D7C">
      <w:r>
        <w:separator/>
      </w:r>
    </w:p>
  </w:endnote>
  <w:endnote w:type="continuationSeparator" w:id="0">
    <w:p w14:paraId="0991EB08" w14:textId="77777777" w:rsidR="00883377" w:rsidRPr="00716D7C" w:rsidRDefault="00883377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0F57C6-FC01-4E3C-80D0-DDD9A1FF4D64}"/>
    <w:embedBold r:id="rId2" w:fontKey="{25AE4099-B7BC-4A33-B3D2-28849CE404F3}"/>
    <w:embedItalic r:id="rId3" w:fontKey="{F1AAC149-D4E6-4501-ADA0-EAD4F4C9A0C5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8DC243D1-6192-4EDC-A7DA-EE1BD09136F8}"/>
    <w:embedBold r:id="rId5" w:fontKey="{4DB73205-C895-49EB-AF7A-FDE4EA380FD3}"/>
    <w:embedItalic r:id="rId6" w:fontKey="{ECF2A4C9-FDD1-4853-9D25-ED7C919623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1C1B936-1B16-496B-BC79-80E8685CA5C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1C8694D2-9405-4194-B1A8-A0E3E46F148B}"/>
    <w:embedBold r:id="rId9" w:fontKey="{2A29C3B2-8B75-4F21-88B5-0769437CEA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76CB2" w14:textId="77777777" w:rsidR="00171312" w:rsidRPr="00716D7C" w:rsidRDefault="00B631E7" w:rsidP="00716D7C"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AFDED72" wp14:editId="0A8B07F5">
              <wp:simplePos x="0" y="0"/>
              <wp:positionH relativeFrom="margin">
                <wp:posOffset>-584835</wp:posOffset>
              </wp:positionH>
              <wp:positionV relativeFrom="page">
                <wp:posOffset>9940925</wp:posOffset>
              </wp:positionV>
              <wp:extent cx="595376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37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B8EC0E" w14:textId="77777777" w:rsidR="00B631E7" w:rsidRPr="00854D5F" w:rsidRDefault="00B631E7" w:rsidP="009D40C9">
                          <w:pPr>
                            <w:pStyle w:val="NoSpacing"/>
                            <w:rPr>
                              <w:color w:val="FFFFFF" w:themeColor="background1"/>
                              <w:sz w:val="18"/>
                              <w:szCs w:val="18"/>
                              <w:lang w:val="fr-BE"/>
                            </w:rPr>
                          </w:pPr>
                          <w:r w:rsidRPr="00854D5F">
                            <w:rPr>
                              <w:color w:val="FFFFFF" w:themeColor="background1"/>
                              <w:sz w:val="18"/>
                              <w:szCs w:val="18"/>
                              <w:lang w:val="fr-BE"/>
                            </w:rPr>
                            <w:t xml:space="preserve">Copa - Cogeca | European Farmers European Agri-Cooperatives </w:t>
                          </w:r>
                        </w:p>
                        <w:p w14:paraId="5244D54A" w14:textId="77777777" w:rsidR="00B631E7" w:rsidRPr="00854D5F" w:rsidRDefault="00B631E7" w:rsidP="009D40C9">
                          <w:pPr>
                            <w:pStyle w:val="NoSpacing"/>
                            <w:rPr>
                              <w:color w:val="FFFFFF" w:themeColor="background1"/>
                              <w:sz w:val="18"/>
                              <w:szCs w:val="18"/>
                              <w:lang w:val="fr-BE"/>
                            </w:rPr>
                          </w:pPr>
                          <w:r w:rsidRPr="00854D5F">
                            <w:rPr>
                              <w:color w:val="FFFFFF" w:themeColor="background1"/>
                              <w:sz w:val="18"/>
                              <w:szCs w:val="18"/>
                              <w:lang w:val="fr-BE"/>
                            </w:rPr>
                            <w:t xml:space="preserve">61, Rue de Trèves | B - 1040 Bruxelles | www.copa-cogeca.eu  </w:t>
                          </w:r>
                        </w:p>
                        <w:p w14:paraId="35B749A1" w14:textId="77777777" w:rsidR="00B631E7" w:rsidRPr="009D40C9" w:rsidRDefault="00B631E7" w:rsidP="009D40C9">
                          <w:pPr>
                            <w:pStyle w:val="NoSpacing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EU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Transparency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Register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Number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| Copa 44856881231–49 | Cogeca 09586631237–74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FDED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6.05pt;margin-top:782.75pt;width:468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5n+wEAAM4DAAAOAAAAZHJzL2Uyb0RvYy54bWysU8tu2zAQvBfoPxC815Jd24k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" filled="f" stroked="f">
              <v:textbox style="mso-fit-shape-to-text:t">
                <w:txbxContent>
                  <w:p w14:paraId="75B8EC0E" w14:textId="77777777" w:rsidR="00B631E7" w:rsidRPr="009D40C9" w:rsidRDefault="00B631E7" w:rsidP="009D40C9">
                    <w:pPr>
                      <w:pStyle w:val="NoSpacing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Copa - Cogeca | European Farmers European Agri-Cooperatives</w:t>
                    </w: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</w:p>
                  <w:p w14:paraId="5244D54A" w14:textId="77777777" w:rsidR="00B631E7" w:rsidRPr="009D40C9" w:rsidRDefault="00B631E7" w:rsidP="009D40C9">
                    <w:pPr>
                      <w:pStyle w:val="NoSpacing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61, Rue de Trèves | B - 1040 Bruxelles | www.copa-cogeca.eu</w:t>
                    </w: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  </w:t>
                    </w:r>
                  </w:p>
                  <w:p w14:paraId="35B749A1" w14:textId="77777777" w:rsidR="00B631E7" w:rsidRPr="009D40C9" w:rsidRDefault="00B631E7" w:rsidP="009D40C9">
                    <w:pPr>
                      <w:pStyle w:val="NoSpacing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EU Transparency Register Number | Copa 44856881231–49 | Cogeca 09586631237–74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8240" behindDoc="1" locked="0" layoutInCell="1" allowOverlap="1" wp14:anchorId="12BCF7CE" wp14:editId="767B5D58">
          <wp:simplePos x="0" y="0"/>
          <wp:positionH relativeFrom="page">
            <wp:posOffset>28245</wp:posOffset>
          </wp:positionH>
          <wp:positionV relativeFrom="paragraph">
            <wp:posOffset>-513624</wp:posOffset>
          </wp:positionV>
          <wp:extent cx="7496834" cy="1347470"/>
          <wp:effectExtent l="0" t="0" r="889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96834" cy="134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4B747" w14:textId="77777777" w:rsidR="00883377" w:rsidRPr="00716D7C" w:rsidRDefault="00883377" w:rsidP="00716D7C">
      <w:r>
        <w:separator/>
      </w:r>
    </w:p>
  </w:footnote>
  <w:footnote w:type="continuationSeparator" w:id="0">
    <w:p w14:paraId="491C59DA" w14:textId="77777777" w:rsidR="00883377" w:rsidRPr="00716D7C" w:rsidRDefault="00883377" w:rsidP="00716D7C">
      <w:r>
        <w:continuationSeparator/>
      </w:r>
    </w:p>
  </w:footnote>
  <w:footnote w:id="1">
    <w:p w14:paraId="4BCE3A1A" w14:textId="77777777" w:rsidR="00647ACC" w:rsidRPr="00647ACC" w:rsidRDefault="00647ACC" w:rsidP="00647ACC">
      <w:pPr>
        <w:pStyle w:val="FootnoteText"/>
        <w:jc w:val="both"/>
        <w:rPr>
          <w:rFonts w:ascii="Montserrat Light" w:hAnsi="Montserrat Light"/>
          <w:sz w:val="14"/>
          <w:szCs w:val="14"/>
        </w:rPr>
      </w:pPr>
      <w:r>
        <w:rPr>
          <w:rStyle w:val="FootnoteReference"/>
          <w:rFonts w:ascii="Montserrat Light" w:hAnsi="Montserrat Light"/>
          <w:sz w:val="14"/>
          <w:szCs w:val="14"/>
        </w:rPr>
        <w:footnoteRef/>
      </w:r>
      <w:r>
        <w:rPr>
          <w:rFonts w:ascii="Montserrat Light" w:hAnsi="Montserrat Light"/>
          <w:sz w:val="14"/>
          <w:szCs w:val="14"/>
        </w:rPr>
        <w:t xml:space="preserve"> https://publications.jrc.ec.europa.eu/repository/handle/JRC121368 </w:t>
      </w:r>
    </w:p>
  </w:footnote>
  <w:footnote w:id="2">
    <w:p w14:paraId="4197D3FB" w14:textId="77777777" w:rsidR="00647ACC" w:rsidRPr="00647ACC" w:rsidRDefault="00647ACC" w:rsidP="00647ACC">
      <w:pPr>
        <w:pStyle w:val="FootnoteText"/>
        <w:jc w:val="both"/>
        <w:rPr>
          <w:rFonts w:ascii="Montserrat Light" w:hAnsi="Montserrat Light"/>
          <w:sz w:val="14"/>
          <w:szCs w:val="14"/>
        </w:rPr>
      </w:pPr>
      <w:r>
        <w:rPr>
          <w:rStyle w:val="FootnoteReference"/>
          <w:rFonts w:ascii="Montserrat Light" w:hAnsi="Montserrat Light"/>
          <w:sz w:val="14"/>
          <w:szCs w:val="14"/>
        </w:rPr>
        <w:footnoteRef/>
      </w:r>
      <w:r>
        <w:rPr>
          <w:rFonts w:ascii="Montserrat Light" w:hAnsi="Montserrat Light"/>
          <w:sz w:val="14"/>
          <w:szCs w:val="14"/>
        </w:rPr>
        <w:t xml:space="preserve"> https://www.fas.usda.gov/newsroom/economic-and-food-security-impacts-eu-farm-fork-strategy</w:t>
      </w:r>
    </w:p>
  </w:footnote>
  <w:footnote w:id="3">
    <w:p w14:paraId="78AC2A88" w14:textId="77777777" w:rsidR="00647ACC" w:rsidRPr="00647ACC" w:rsidRDefault="00647ACC" w:rsidP="00647ACC">
      <w:pPr>
        <w:rPr>
          <w:sz w:val="14"/>
          <w:szCs w:val="14"/>
        </w:rPr>
      </w:pPr>
      <w:r>
        <w:rPr>
          <w:rStyle w:val="FootnoteReference"/>
          <w:sz w:val="14"/>
          <w:szCs w:val="14"/>
        </w:rPr>
        <w:footnoteRef/>
      </w:r>
      <w:r>
        <w:rPr>
          <w:sz w:val="14"/>
          <w:szCs w:val="14"/>
        </w:rPr>
        <w:t xml:space="preserve"> https://grain-club.de/fileadmin/user_upload/Dokumente/Farm_to_fork_Studie_Executive_Summary_EN.pdf</w:t>
      </w:r>
    </w:p>
  </w:footnote>
  <w:footnote w:id="4">
    <w:p w14:paraId="7FE8A840" w14:textId="77777777" w:rsidR="00647ACC" w:rsidRPr="00647ACC" w:rsidRDefault="00647ACC" w:rsidP="00647ACC">
      <w:pPr>
        <w:pStyle w:val="FootnoteText"/>
        <w:jc w:val="both"/>
        <w:rPr>
          <w:rFonts w:ascii="Montserrat Light" w:hAnsi="Montserrat Light"/>
          <w:sz w:val="18"/>
          <w:szCs w:val="18"/>
        </w:rPr>
      </w:pPr>
      <w:r>
        <w:rPr>
          <w:rStyle w:val="FootnoteReference"/>
          <w:rFonts w:ascii="Montserrat Light" w:hAnsi="Montserrat Light"/>
          <w:sz w:val="14"/>
          <w:szCs w:val="14"/>
        </w:rPr>
        <w:footnoteRef/>
      </w:r>
      <w:r>
        <w:rPr>
          <w:rFonts w:ascii="Montserrat Light" w:hAnsi="Montserrat Light"/>
          <w:sz w:val="14"/>
          <w:szCs w:val="14"/>
        </w:rPr>
        <w:t xml:space="preserve"> https://hffa-research.com/wp-content/uploads/2021/05/HFFA-Research-The-socio-economic-and-environmental-values-of-plant-breeding-in-the-EU.pdf</w:t>
      </w:r>
    </w:p>
  </w:footnote>
  <w:footnote w:id="5">
    <w:p w14:paraId="1B8BA167" w14:textId="77777777" w:rsidR="00647ACC" w:rsidRPr="00647ACC" w:rsidRDefault="00647ACC" w:rsidP="00647ACC">
      <w:pPr>
        <w:pStyle w:val="FootnoteText"/>
        <w:rPr>
          <w:rFonts w:ascii="Montserrat Light" w:hAnsi="Montserrat Light"/>
          <w:sz w:val="14"/>
          <w:szCs w:val="14"/>
        </w:rPr>
      </w:pPr>
      <w:r>
        <w:rPr>
          <w:rStyle w:val="FootnoteReference"/>
          <w:rFonts w:ascii="Montserrat Light" w:hAnsi="Montserrat Light"/>
          <w:sz w:val="14"/>
          <w:szCs w:val="14"/>
        </w:rPr>
        <w:footnoteRef/>
      </w:r>
      <w:r>
        <w:t xml:space="preserve"> Agenzia europea dell'ambiente (2018), Phillips </w:t>
      </w:r>
      <w:proofErr w:type="spellStart"/>
      <w:r>
        <w:t>McDougall</w:t>
      </w:r>
      <w:proofErr w:type="spellEnd"/>
      <w:r>
        <w:t xml:space="preserve"> (2018)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3F7E8" w14:textId="77777777" w:rsidR="003D1D89" w:rsidRPr="00B953B8" w:rsidRDefault="003D1D89" w:rsidP="002D57AF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E2"/>
    <w:rsid w:val="00006AB9"/>
    <w:rsid w:val="00071DB6"/>
    <w:rsid w:val="000B1D84"/>
    <w:rsid w:val="000D2B3B"/>
    <w:rsid w:val="000D34BA"/>
    <w:rsid w:val="00100850"/>
    <w:rsid w:val="00117877"/>
    <w:rsid w:val="0013357E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B0FFD"/>
    <w:rsid w:val="002D4EA5"/>
    <w:rsid w:val="002D57AF"/>
    <w:rsid w:val="002E02A5"/>
    <w:rsid w:val="003126C2"/>
    <w:rsid w:val="00327F42"/>
    <w:rsid w:val="00332710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1631"/>
    <w:rsid w:val="004616E2"/>
    <w:rsid w:val="00467BDE"/>
    <w:rsid w:val="00486A5D"/>
    <w:rsid w:val="004A13F0"/>
    <w:rsid w:val="004C39C3"/>
    <w:rsid w:val="004D1FA4"/>
    <w:rsid w:val="004F6EE0"/>
    <w:rsid w:val="005202ED"/>
    <w:rsid w:val="0056456D"/>
    <w:rsid w:val="00590988"/>
    <w:rsid w:val="00592F70"/>
    <w:rsid w:val="005E5961"/>
    <w:rsid w:val="005E5BFB"/>
    <w:rsid w:val="00600ED3"/>
    <w:rsid w:val="00607BB2"/>
    <w:rsid w:val="00641635"/>
    <w:rsid w:val="00647ACC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44E9"/>
    <w:rsid w:val="007B5E6E"/>
    <w:rsid w:val="007B6D94"/>
    <w:rsid w:val="007B7735"/>
    <w:rsid w:val="007C5E9B"/>
    <w:rsid w:val="007F3E4D"/>
    <w:rsid w:val="00800A86"/>
    <w:rsid w:val="00811BA1"/>
    <w:rsid w:val="00850375"/>
    <w:rsid w:val="00851336"/>
    <w:rsid w:val="00854D5F"/>
    <w:rsid w:val="00860527"/>
    <w:rsid w:val="00864920"/>
    <w:rsid w:val="00867FA8"/>
    <w:rsid w:val="00883377"/>
    <w:rsid w:val="008A0BFA"/>
    <w:rsid w:val="008B5717"/>
    <w:rsid w:val="008C0429"/>
    <w:rsid w:val="008C0994"/>
    <w:rsid w:val="008D5A0D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A1126D"/>
    <w:rsid w:val="00A20342"/>
    <w:rsid w:val="00A63781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133CB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533B"/>
    <w:rsid w:val="00D239FF"/>
    <w:rsid w:val="00D66617"/>
    <w:rsid w:val="00D72C78"/>
    <w:rsid w:val="00DF6217"/>
    <w:rsid w:val="00E05511"/>
    <w:rsid w:val="00E2211C"/>
    <w:rsid w:val="00E510B1"/>
    <w:rsid w:val="00E6542D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B0E87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499E1"/>
  <w15:chartTrackingRefBased/>
  <w15:docId w15:val="{4FD77F27-3F4E-4938-8A83-AF20C61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647ACC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7A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647A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7F21ED28354AA8B31EE2810B1AA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EEA1A-7C3E-421C-A67C-765825D71C58}"/>
      </w:docPartPr>
      <w:docPartBody>
        <w:p w:rsidR="004E63F2" w:rsidRDefault="00677B82">
          <w:pPr>
            <w:pStyle w:val="147F21ED28354AA8B31EE2810B1AA437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F2"/>
    <w:rsid w:val="00395C87"/>
    <w:rsid w:val="004E63F2"/>
    <w:rsid w:val="0067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47F21ED28354AA8B31EE2810B1AA437">
    <w:name w:val="147F21ED28354AA8B31EE2810B1AA4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E8A8BAF-0FA5-484E-8F76-1C8BE7708232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0" ma:contentTypeDescription="Create a new document." ma:contentTypeScope="" ma:versionID="5a138d4d949965b4fabd134cbae0d59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C6ABB-D913-433E-993E-CE16E9EB6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074C40-3226-402E-B88C-A45A597C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787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Elena Amorati</cp:lastModifiedBy>
  <cp:revision>6</cp:revision>
  <cp:lastPrinted>2022-12-19T09:39:00Z</cp:lastPrinted>
  <dcterms:created xsi:type="dcterms:W3CDTF">2022-12-19T09:56:00Z</dcterms:created>
  <dcterms:modified xsi:type="dcterms:W3CDTF">2023-01-02T14:19:00Z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