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2338751"/>
    <w:p w14:paraId="067AE3FE" w14:textId="77777777" w:rsidR="008D5A0D" w:rsidRDefault="00E02C7F" w:rsidP="00F145A0">
      <w:pPr>
        <w:jc w:val="right"/>
      </w:pPr>
      <w:sdt>
        <w:sdtPr>
          <w:rPr>
            <w:noProof/>
          </w:rPr>
          <w:alias w:val="Insérer logo"/>
          <w:tag w:val="Insert Logo"/>
          <w:id w:val="-1871138787"/>
          <w:lock w:val="sdtLocked"/>
          <w:picture/>
        </w:sdtPr>
        <w:sdtEndPr/>
        <w:sdtContent>
          <w:r w:rsidR="00A64A82">
            <w:rPr>
              <w:noProof/>
              <w:lang w:val="fr-BE" w:eastAsia="fr-BE"/>
            </w:rPr>
            <w:drawing>
              <wp:inline distT="0" distB="0" distL="0" distR="0" wp14:anchorId="1AECD7C6" wp14:editId="0B1E92FC">
                <wp:extent cx="2085874" cy="521468"/>
                <wp:effectExtent l="0" t="0" r="0" b="0"/>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8963" cy="532240"/>
                        </a:xfrm>
                        <a:prstGeom prst="rect">
                          <a:avLst/>
                        </a:prstGeom>
                      </pic:spPr>
                    </pic:pic>
                  </a:graphicData>
                </a:graphic>
              </wp:inline>
            </w:drawing>
          </w:r>
        </w:sdtContent>
      </w:sdt>
    </w:p>
    <w:p w14:paraId="70F5A662" w14:textId="16A098D3" w:rsidR="00767438" w:rsidRPr="00647ACC" w:rsidRDefault="004616E2" w:rsidP="00244682">
      <w:pPr>
        <w:rPr>
          <w:sz w:val="21"/>
          <w:szCs w:val="21"/>
        </w:rPr>
      </w:pPr>
      <w:r>
        <w:rPr>
          <w:rStyle w:val="CCNormal"/>
          <w:sz w:val="21"/>
          <w:szCs w:val="21"/>
        </w:rPr>
        <w:t>19-12-22</w:t>
      </w:r>
    </w:p>
    <w:p w14:paraId="1AFCE216" w14:textId="26DA497A" w:rsidR="00182716" w:rsidRPr="00647ACC" w:rsidRDefault="00647ACC" w:rsidP="00B22284">
      <w:pPr>
        <w:rPr>
          <w:rStyle w:val="CCType"/>
          <w:sz w:val="44"/>
          <w:szCs w:val="28"/>
        </w:rPr>
      </w:pPr>
      <w:r>
        <w:rPr>
          <w:rStyle w:val="CCType"/>
          <w:sz w:val="44"/>
          <w:szCs w:val="28"/>
        </w:rPr>
        <w:t>Communiqué de presse</w:t>
      </w:r>
    </w:p>
    <w:p w14:paraId="5D12DA2D" w14:textId="77777777" w:rsidR="00647ACC" w:rsidRPr="00647ACC" w:rsidRDefault="00647ACC" w:rsidP="00647ACC">
      <w:pPr>
        <w:rPr>
          <w:b/>
          <w:bCs/>
          <w:sz w:val="28"/>
          <w:szCs w:val="24"/>
        </w:rPr>
      </w:pPr>
      <w:r>
        <w:rPr>
          <w:b/>
          <w:bCs/>
          <w:sz w:val="28"/>
          <w:szCs w:val="24"/>
        </w:rPr>
        <w:t>Le Copa et la Cogeca se félicitent de l’adoption par le Conseil d'une décision en faveur d’une analyse d'impact complémentaire concernant le règlement SUR</w:t>
      </w:r>
    </w:p>
    <w:p w14:paraId="7AD11BB5" w14:textId="77777777" w:rsidR="00647ACC" w:rsidRPr="00647ACC" w:rsidRDefault="00647ACC" w:rsidP="00647ACC">
      <w:pPr>
        <w:rPr>
          <w:b/>
          <w:bCs/>
          <w:sz w:val="21"/>
          <w:szCs w:val="21"/>
        </w:rPr>
      </w:pPr>
      <w:r>
        <w:rPr>
          <w:b/>
          <w:bCs/>
          <w:sz w:val="21"/>
          <w:szCs w:val="21"/>
        </w:rPr>
        <w:t xml:space="preserve">Le Copa et la Cogeca soutiennent toutes les demandes visées à l’article 1 de la décision adoptée par le Conseil et partagent les inquiétudes de ce dernier concernant le manque de considération accordée aux conséquences de l’invasion de l’Ukraine et de la crise actuelle de l’énergie et des prix alimentaires dans l’analyse concernant les répercussions potentielles de la stratégie « De la ferme à la table » et de la proposition de règlement relatif à l'utilisation durable des produits phytosanitaires (SUR) sur l’agriculture de l’UE. </w:t>
      </w:r>
    </w:p>
    <w:p w14:paraId="4320E97D" w14:textId="77777777" w:rsidR="00647ACC" w:rsidRPr="00647ACC" w:rsidRDefault="00647ACC" w:rsidP="00647ACC">
      <w:pPr>
        <w:rPr>
          <w:sz w:val="21"/>
          <w:szCs w:val="21"/>
        </w:rPr>
      </w:pPr>
      <w:r>
        <w:rPr>
          <w:sz w:val="21"/>
          <w:szCs w:val="21"/>
        </w:rPr>
        <w:t xml:space="preserve">Le 22 juin, outre la publication, par la Commission européenne, de sa proposition de législation sur la restauration de la nature et de sa proposition de réduire de moitié l’utilisation de produits phytosanitaires d’ici 2030, le Copa et la Cogeca ont pris note des décisions annoncées par le collège des Commissaires visant à « lancer une analyse exhaustive au sujet des moteurs de la sécurité alimentaire dans toutes leurs dimensions ». Une telle décision est en effet pertinente et démontre que les propositions présentées au mois de juin pourraient </w:t>
      </w:r>
      <w:proofErr w:type="gramStart"/>
      <w:r>
        <w:rPr>
          <w:sz w:val="21"/>
          <w:szCs w:val="21"/>
        </w:rPr>
        <w:t>avoir</w:t>
      </w:r>
      <w:proofErr w:type="gramEnd"/>
      <w:r>
        <w:rPr>
          <w:sz w:val="21"/>
          <w:szCs w:val="21"/>
        </w:rPr>
        <w:t xml:space="preserve"> des répercussions sur la sécurité alimentaire et méritent donc une analyse approfondie. </w:t>
      </w:r>
    </w:p>
    <w:p w14:paraId="60AA2844" w14:textId="7EC6B258" w:rsidR="00647ACC" w:rsidRPr="00647ACC" w:rsidRDefault="00647ACC" w:rsidP="00647ACC">
      <w:pPr>
        <w:rPr>
          <w:i/>
          <w:iCs/>
          <w:sz w:val="21"/>
          <w:szCs w:val="21"/>
        </w:rPr>
      </w:pPr>
      <w:r>
        <w:rPr>
          <w:sz w:val="21"/>
          <w:szCs w:val="21"/>
        </w:rPr>
        <w:t xml:space="preserve">Le Vice-président du Copa, Pedro Gallardo, a déclaré : </w:t>
      </w:r>
      <w:r>
        <w:rPr>
          <w:i/>
          <w:iCs/>
          <w:sz w:val="21"/>
          <w:szCs w:val="21"/>
        </w:rPr>
        <w:t xml:space="preserve">« À la lumière des circonstances actuelles (guerre en Ukraine, dépendance de l’UE vis-à-vis des intrants agricoles importés - à savoir l’énergie et les engrais - et explosion des prix des aliments dans de nombreux pays), il est crucial de garantir la stabilité des rendements agricoles afin de produire suffisamment de produits de grande qualité et à des prix abordables. </w:t>
      </w:r>
      <w:r w:rsidR="00404611">
        <w:rPr>
          <w:i/>
          <w:iCs/>
          <w:sz w:val="21"/>
          <w:szCs w:val="21"/>
        </w:rPr>
        <w:t>La </w:t>
      </w:r>
      <w:r>
        <w:rPr>
          <w:i/>
          <w:iCs/>
          <w:sz w:val="21"/>
          <w:szCs w:val="21"/>
        </w:rPr>
        <w:t>sécurité alimentaire et le caractère abordable des denrées alimentaires, que la société a tenus pour acquises pendant des années, et leur incidence au niveau mondial sont désormais un sujet d’inquiétude dans l’UE également, comme le prouvent les récentes données concernant l’inflation annuelle. Le Copa et la Cogeca ont toujours appuyé les demandes susmentionnées en faveur d’une analyse d'impact complémentaire afin de vérifier si la proposition de règlement SUR était réalisable dans le délai proposé par la Commission. Nous avons également encouragé la Commission à mettre au point une méthode pour prendre en compte les progrès déjà effectués en termes d'innovation au sein des exploitations et d’application de la lutte intégrée contre les organismes nuisibles, à l'image de la méthode qu’elle a développée pour mesurer et déterminer les objectifs ».</w:t>
      </w:r>
    </w:p>
    <w:p w14:paraId="7AD799F5" w14:textId="77777777" w:rsidR="00647ACC" w:rsidRPr="00647ACC" w:rsidRDefault="00647ACC" w:rsidP="00647ACC">
      <w:pPr>
        <w:rPr>
          <w:sz w:val="21"/>
          <w:szCs w:val="21"/>
        </w:rPr>
      </w:pPr>
      <w:r>
        <w:rPr>
          <w:sz w:val="21"/>
          <w:szCs w:val="21"/>
        </w:rPr>
        <w:lastRenderedPageBreak/>
        <w:t xml:space="preserve">Le Copa et la Cogeca reconnaissent les mesures prises par la Commission pour utiliser toutes les terres disponibles dans l’UE ainsi que les différentes mesures à court terme proposées pour soutenir les agriculteurs et maintenir des prix abordables pour les citoyens ; cependant, la réalité à laquelle l’UE et le reste du monde sont aujourd'hui confrontés est bien différente de celle de décembre 2019 (Pacte vert pour l’Europe) et de mai 2020 (stratégie « De la ferme à la table » et en faveur de la biodiversité). </w:t>
      </w:r>
    </w:p>
    <w:p w14:paraId="3C3A435E" w14:textId="77777777" w:rsidR="00647ACC" w:rsidRPr="00647ACC" w:rsidRDefault="00647ACC" w:rsidP="00647ACC">
      <w:pPr>
        <w:rPr>
          <w:sz w:val="21"/>
          <w:szCs w:val="21"/>
        </w:rPr>
      </w:pPr>
      <w:r>
        <w:rPr>
          <w:sz w:val="21"/>
          <w:szCs w:val="21"/>
        </w:rPr>
        <w:t>Compte tenu de la situation politique difficile actuelle, le Copa et la Cogeca estiment que l’UE devrait, aujourd'hui plus que jamais, se concentrer sur la préservation de la sécurité alimentaire plutôt que de proposer des mesures au détriment de notre production. Les différentes études publiées au cours des deux dernières années (CCR</w:t>
      </w:r>
      <w:r w:rsidRPr="00647ACC">
        <w:rPr>
          <w:sz w:val="21"/>
          <w:szCs w:val="21"/>
        </w:rPr>
        <w:footnoteReference w:id="1"/>
      </w:r>
      <w:r>
        <w:rPr>
          <w:sz w:val="21"/>
          <w:szCs w:val="21"/>
        </w:rPr>
        <w:t>, Université de Wageningen, USDA</w:t>
      </w:r>
      <w:r w:rsidRPr="00647ACC">
        <w:rPr>
          <w:sz w:val="21"/>
          <w:szCs w:val="21"/>
        </w:rPr>
        <w:footnoteReference w:id="2"/>
      </w:r>
      <w:r>
        <w:rPr>
          <w:sz w:val="21"/>
          <w:szCs w:val="21"/>
        </w:rPr>
        <w:t xml:space="preserve">, COCERAL, </w:t>
      </w:r>
      <w:proofErr w:type="spellStart"/>
      <w:r>
        <w:rPr>
          <w:sz w:val="21"/>
          <w:szCs w:val="21"/>
        </w:rPr>
        <w:t>Euroseeds</w:t>
      </w:r>
      <w:proofErr w:type="spellEnd"/>
      <w:r>
        <w:rPr>
          <w:sz w:val="21"/>
          <w:szCs w:val="21"/>
        </w:rPr>
        <w:t>, Université de Kiel</w:t>
      </w:r>
      <w:r w:rsidRPr="00647ACC">
        <w:rPr>
          <w:sz w:val="21"/>
          <w:szCs w:val="21"/>
        </w:rPr>
        <w:footnoteReference w:id="3"/>
      </w:r>
      <w:r>
        <w:rPr>
          <w:sz w:val="21"/>
          <w:szCs w:val="21"/>
        </w:rPr>
        <w:t>, INRAE, HFFA</w:t>
      </w:r>
      <w:r w:rsidRPr="00647ACC">
        <w:rPr>
          <w:sz w:val="21"/>
          <w:szCs w:val="21"/>
        </w:rPr>
        <w:footnoteReference w:id="4"/>
      </w:r>
      <w:r>
        <w:rPr>
          <w:sz w:val="21"/>
          <w:szCs w:val="21"/>
        </w:rPr>
        <w:t xml:space="preserve">) présentent toutes des conclusions inquiétantes : la production agricole de l’UE baissera de manière dramatique, les prix et le revenu des agriculteurs seront sévèrement touchés et les bénéfices environnementaux seront extrêmement limités en termes de sécurité alimentaire et de durabilité en raison des fuites environnementales vers les pays tiers. </w:t>
      </w:r>
    </w:p>
    <w:p w14:paraId="22372E43" w14:textId="77777777" w:rsidR="00647ACC" w:rsidRPr="00647ACC" w:rsidRDefault="00647ACC" w:rsidP="00647ACC">
      <w:pPr>
        <w:rPr>
          <w:sz w:val="21"/>
          <w:szCs w:val="21"/>
        </w:rPr>
      </w:pPr>
      <w:r>
        <w:rPr>
          <w:sz w:val="21"/>
          <w:szCs w:val="21"/>
        </w:rPr>
        <w:t>En outre, la dépendance de l’UE vis-à-vis des importations alimentaires va fortement augmenter et certaines études estiment même que l’UE deviendra un importateur net. Par conséquent, il est primordial que la Commission tienne compte du contexte sociopolitique actuel avant d’appliquer des politiques qui porteraient un coup sévère à la production agricole de l'UE. Par ailleurs, les législateurs doivent impérativement tenir compte de la contribution que les agriculteurs ont déjà apportée en matière d'utilisation durable des produits phytosanitaires. En Europe, l’utilisation des produits phytosanitaires et les risques liés à cette utilisation ont fortement diminué ces cinquante dernières années</w:t>
      </w:r>
      <w:r w:rsidRPr="00647ACC">
        <w:rPr>
          <w:sz w:val="21"/>
          <w:szCs w:val="21"/>
        </w:rPr>
        <w:footnoteReference w:id="5"/>
      </w:r>
      <w:r>
        <w:rPr>
          <w:sz w:val="21"/>
          <w:szCs w:val="21"/>
        </w:rPr>
        <w:t xml:space="preserve">. </w:t>
      </w:r>
    </w:p>
    <w:p w14:paraId="39F69443" w14:textId="24951F28" w:rsidR="00647ACC" w:rsidRPr="00647ACC" w:rsidRDefault="00647ACC" w:rsidP="00647ACC">
      <w:pPr>
        <w:rPr>
          <w:sz w:val="21"/>
          <w:szCs w:val="21"/>
        </w:rPr>
      </w:pPr>
      <w:r>
        <w:rPr>
          <w:sz w:val="21"/>
          <w:szCs w:val="21"/>
        </w:rPr>
        <w:t>La sécurité alimentaire est une question hautement stratégique et toujours aussi pertinente. Par conséquent, le Pacte vert pour l’Europe ne peut être mis en œuvre au détriment de la production de l’UE.</w:t>
      </w:r>
      <w:r w:rsidR="00404611">
        <w:rPr>
          <w:sz w:val="21"/>
          <w:szCs w:val="21"/>
        </w:rPr>
        <w:t xml:space="preserve"> </w:t>
      </w:r>
      <w:r>
        <w:rPr>
          <w:sz w:val="21"/>
          <w:szCs w:val="21"/>
        </w:rPr>
        <w:t xml:space="preserve">Les institutions européennes doivent accélérer leurs travaux pour fournir aux agriculteurs de l’UE les outils nécessaires pour atteindre ces objectifs sans pour autant réduire la production. Les transitions doivent être mises en place sur le terrain avec l’aide des agriculteurs en assurant un dialogue continu entre les agriculteurs et les institutions européennes. </w:t>
      </w:r>
    </w:p>
    <w:p w14:paraId="156DAD56" w14:textId="77777777" w:rsidR="00925C9C" w:rsidRPr="00647ACC" w:rsidRDefault="00925C9C" w:rsidP="00235A0D">
      <w:pPr>
        <w:rPr>
          <w:sz w:val="21"/>
          <w:szCs w:val="21"/>
        </w:rPr>
      </w:pPr>
    </w:p>
    <w:p w14:paraId="2B9F7198" w14:textId="421EDC9F" w:rsidR="00182716" w:rsidRPr="00647ACC" w:rsidRDefault="00E02C7F" w:rsidP="00244682">
      <w:pPr>
        <w:rPr>
          <w:b/>
          <w:bCs/>
          <w:color w:val="697331"/>
          <w:sz w:val="21"/>
          <w:szCs w:val="21"/>
        </w:rPr>
      </w:pPr>
      <w:sdt>
        <w:sdtPr>
          <w:rPr>
            <w:b/>
            <w:bCs/>
            <w:color w:val="697331"/>
            <w:sz w:val="21"/>
            <w:szCs w:val="21"/>
          </w:rPr>
          <w:id w:val="636535682"/>
          <w:placeholder>
            <w:docPart w:val="147F21ED28354AA8B31EE2810B1AA437"/>
          </w:placeholder>
          <w:temporary/>
        </w:sdtPr>
        <w:sdtEndPr/>
        <w:sdtContent>
          <w:r w:rsidR="00A64A82">
            <w:rPr>
              <w:b/>
              <w:bCs/>
              <w:color w:val="697331"/>
              <w:sz w:val="21"/>
              <w:szCs w:val="21"/>
            </w:rPr>
            <w:t>-FIN-</w:t>
          </w:r>
        </w:sdtContent>
      </w:sdt>
      <w:r w:rsidR="00A64A82">
        <w:rPr>
          <w:b/>
          <w:bCs/>
          <w:color w:val="697331"/>
          <w:sz w:val="21"/>
          <w:szCs w:val="21"/>
        </w:rPr>
        <w:t xml:space="preserve"> </w:t>
      </w:r>
    </w:p>
    <w:p w14:paraId="35028931" w14:textId="77777777" w:rsidR="004616E2" w:rsidRPr="00404611" w:rsidRDefault="004616E2" w:rsidP="00244682">
      <w:pPr>
        <w:rPr>
          <w:b/>
          <w:bCs/>
          <w:color w:val="697331"/>
          <w:sz w:val="21"/>
          <w:szCs w:val="21"/>
          <w:lang w:val="fr-BE"/>
        </w:rPr>
      </w:pPr>
    </w:p>
    <w:p w14:paraId="22112D9D" w14:textId="77777777" w:rsidR="004616E2" w:rsidRPr="00647ACC" w:rsidRDefault="004616E2" w:rsidP="004616E2">
      <w:pPr>
        <w:spacing w:after="200"/>
        <w:rPr>
          <w:sz w:val="21"/>
          <w:szCs w:val="21"/>
        </w:rPr>
      </w:pPr>
      <w:r>
        <w:rPr>
          <w:sz w:val="21"/>
          <w:szCs w:val="21"/>
        </w:rPr>
        <w:lastRenderedPageBreak/>
        <w:t>La version originale anglaise du présent communiqué de presse et les traductions en allemand, espagnol, italien, polonais et roumain sont disponibles sur le site du Copa-Cogeca.</w:t>
      </w:r>
    </w:p>
    <w:p w14:paraId="0FA5C74A" w14:textId="77777777" w:rsidR="004616E2" w:rsidRPr="00404611" w:rsidRDefault="004616E2" w:rsidP="00244682">
      <w:pPr>
        <w:rPr>
          <w:lang w:val="fr-BE"/>
        </w:rPr>
      </w:pPr>
    </w:p>
    <w:sdt>
      <w:sdtPr>
        <w:rPr>
          <w:rFonts w:ascii="Montserrat Light" w:eastAsiaTheme="minorHAnsi" w:hAnsi="Montserrat Light" w:cstheme="minorBidi"/>
          <w:color w:val="58595B"/>
          <w:sz w:val="22"/>
          <w:szCs w:val="22"/>
        </w:rPr>
        <w:id w:val="-926261863"/>
        <w:lock w:val="sdtContentLocked"/>
        <w:placeholder>
          <w:docPart w:val="147F21ED28354AA8B31EE2810B1AA437"/>
        </w:placeholder>
      </w:sdtPr>
      <w:sdtEndPr/>
      <w:sdtContent>
        <w:p w14:paraId="46ADFF43"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val="fr-BE" w:eastAsia="fr-BE"/>
            </w:rPr>
            <mc:AlternateContent>
              <mc:Choice Requires="wps">
                <w:drawing>
                  <wp:anchor distT="0" distB="0" distL="114300" distR="114300" simplePos="0" relativeHeight="251659264" behindDoc="0" locked="0" layoutInCell="1" allowOverlap="1" wp14:anchorId="2EF98F09" wp14:editId="36F11CAB">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BA88E5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rPr>
        <w:id w:val="2040863808"/>
        <w:placeholder>
          <w:docPart w:val="147F21ED28354AA8B31EE2810B1AA437"/>
        </w:placeholder>
        <w:temporary/>
      </w:sdtPr>
      <w:sdtEndPr>
        <w:rPr>
          <w:rStyle w:val="CCNormal"/>
        </w:rPr>
      </w:sdtEndPr>
      <w:sdtContent>
        <w:p w14:paraId="1C269425" w14:textId="77777777" w:rsidR="00445C22" w:rsidRPr="00B953B8" w:rsidRDefault="00244682" w:rsidP="00445C22">
          <w:pPr>
            <w:pStyle w:val="NormalWeb"/>
            <w:shd w:val="clear" w:color="auto" w:fill="FFFFFF"/>
            <w:spacing w:before="0" w:beforeAutospacing="0"/>
            <w:rPr>
              <w:rFonts w:eastAsiaTheme="minorHAnsi"/>
            </w:rPr>
          </w:pPr>
          <w:r>
            <w:rPr>
              <w:rStyle w:val="CCNormal"/>
            </w:rPr>
            <w:t>Pour de plus amples informations, veuillez contacter :</w:t>
          </w:r>
        </w:p>
      </w:sdtContent>
    </w:sdt>
    <w:tbl>
      <w:tblPr>
        <w:tblW w:w="0" w:type="auto"/>
        <w:tblLook w:val="04A0" w:firstRow="1" w:lastRow="0" w:firstColumn="1" w:lastColumn="0" w:noHBand="0" w:noVBand="1"/>
      </w:tblPr>
      <w:tblGrid>
        <w:gridCol w:w="4253"/>
        <w:gridCol w:w="4763"/>
      </w:tblGrid>
      <w:tr w:rsidR="00E6727E" w14:paraId="2FE642C6" w14:textId="77777777" w:rsidTr="00716D7C">
        <w:tc>
          <w:tcPr>
            <w:tcW w:w="4253" w:type="dxa"/>
          </w:tcPr>
          <w:p w14:paraId="0F0E2204" w14:textId="2BA2D8D3" w:rsidR="00E6727E" w:rsidRPr="00404611" w:rsidRDefault="00647ACC" w:rsidP="00B953B8">
            <w:pPr>
              <w:pStyle w:val="NoSpacing"/>
              <w:rPr>
                <w:lang w:val="it-IT"/>
              </w:rPr>
            </w:pPr>
            <w:r w:rsidRPr="00404611">
              <w:rPr>
                <w:lang w:val="it-IT"/>
              </w:rPr>
              <w:t>Paula De Vera</w:t>
            </w:r>
          </w:p>
          <w:p w14:paraId="2C3BAD60" w14:textId="36076F91" w:rsidR="00E6727E" w:rsidRPr="00404611" w:rsidRDefault="004616E2" w:rsidP="00B953B8">
            <w:pPr>
              <w:pStyle w:val="NoSpacing"/>
              <w:rPr>
                <w:rStyle w:val="CCNoSpacing"/>
                <w:lang w:val="it-IT"/>
              </w:rPr>
            </w:pPr>
            <w:r w:rsidRPr="00404611">
              <w:rPr>
                <w:rStyle w:val="CCNoSpacing"/>
                <w:lang w:val="it-IT"/>
              </w:rPr>
              <w:t>Senior Policy Advisor</w:t>
            </w:r>
          </w:p>
          <w:p w14:paraId="0876FF04" w14:textId="12A537A4" w:rsidR="00E6727E" w:rsidRPr="00404611" w:rsidRDefault="00647ACC" w:rsidP="00B953B8">
            <w:pPr>
              <w:rPr>
                <w:lang w:val="it-IT"/>
              </w:rPr>
            </w:pPr>
            <w:r w:rsidRPr="00404611">
              <w:rPr>
                <w:rStyle w:val="Hyperlink"/>
                <w:lang w:val="it-IT"/>
              </w:rPr>
              <w:t>Paula.DeVera@copa-cogeca.eu</w:t>
            </w:r>
          </w:p>
        </w:tc>
        <w:tc>
          <w:tcPr>
            <w:tcW w:w="4763" w:type="dxa"/>
          </w:tcPr>
          <w:p w14:paraId="5821E656" w14:textId="416D4EA0" w:rsidR="00E6727E" w:rsidRPr="00B953B8" w:rsidRDefault="00647ACC" w:rsidP="00B953B8">
            <w:pPr>
              <w:pStyle w:val="NoSpacing"/>
            </w:pPr>
            <w:r>
              <w:t>Jean-Baptiste Boucher</w:t>
            </w:r>
          </w:p>
          <w:p w14:paraId="278E5FB0" w14:textId="3E8035E5" w:rsidR="00E6727E" w:rsidRPr="00B953B8" w:rsidRDefault="00647ACC" w:rsidP="00B953B8">
            <w:pPr>
              <w:pStyle w:val="NoSpacing"/>
            </w:pPr>
            <w:r>
              <w:t>Directeur de la communication</w:t>
            </w:r>
          </w:p>
          <w:p w14:paraId="1BF9B2BD" w14:textId="16831014" w:rsidR="00E6727E" w:rsidRPr="00647ACC" w:rsidRDefault="004616E2" w:rsidP="00B953B8">
            <w:pPr>
              <w:pStyle w:val="NoSpacing"/>
            </w:pPr>
            <w:r>
              <w:t>+ 32 474 840 836</w:t>
            </w:r>
          </w:p>
          <w:p w14:paraId="554AC14B" w14:textId="68DC067F" w:rsidR="00E6727E" w:rsidRPr="00B953B8" w:rsidRDefault="00647ACC" w:rsidP="00B953B8">
            <w:r>
              <w:rPr>
                <w:rStyle w:val="Hyperlink"/>
              </w:rPr>
              <w:t>Jean-Baptiste.Boucher@copa-cogeca.eu</w:t>
            </w:r>
          </w:p>
        </w:tc>
      </w:tr>
      <w:bookmarkEnd w:id="0"/>
    </w:tbl>
    <w:p w14:paraId="1E5AC2B8" w14:textId="77777777" w:rsidR="00E6727E" w:rsidRPr="00235A0D" w:rsidRDefault="00E6727E" w:rsidP="00235A0D"/>
    <w:sectPr w:rsidR="00E6727E" w:rsidRPr="00235A0D" w:rsidSect="0056456D">
      <w:headerReference w:type="default" r:id="rId12"/>
      <w:footerReference w:type="default" r:id="rId13"/>
      <w:pgSz w:w="11906" w:h="16838"/>
      <w:pgMar w:top="1440" w:right="1440" w:bottom="198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403CB" w14:textId="77777777" w:rsidR="00883377" w:rsidRPr="00716D7C" w:rsidRDefault="00883377" w:rsidP="00716D7C">
      <w:r>
        <w:separator/>
      </w:r>
    </w:p>
  </w:endnote>
  <w:endnote w:type="continuationSeparator" w:id="0">
    <w:p w14:paraId="0991EB08" w14:textId="77777777" w:rsidR="00883377" w:rsidRPr="00716D7C" w:rsidRDefault="00883377"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B2F1BBB-9AA7-4D2D-8594-3A3D30D6072D}"/>
    <w:embedBold r:id="rId2" w:fontKey="{4E7B9856-5197-40D8-95B6-9955F1BFD346}"/>
    <w:embedItalic r:id="rId3" w:fontKey="{10F1168D-B2C2-4361-A845-C9ACF8CC674D}"/>
  </w:font>
  <w:font w:name="Montserrat Light">
    <w:altName w:val="Calibri"/>
    <w:charset w:val="00"/>
    <w:family w:val="auto"/>
    <w:pitch w:val="variable"/>
    <w:sig w:usb0="2000020F" w:usb1="00000003" w:usb2="00000000" w:usb3="00000000" w:csb0="00000197" w:csb1="00000000"/>
    <w:embedRegular r:id="rId4" w:fontKey="{08B8FEBE-8B58-44FB-94AC-C4C1E3220FA9}"/>
    <w:embedBold r:id="rId5" w:fontKey="{037AEC04-2E10-4E87-B1FA-F10CF7282BC0}"/>
    <w:embedItalic r:id="rId6" w:fontKey="{B7C593F0-0E62-4362-8910-546D9E8FB240}"/>
  </w:font>
  <w:font w:name="Calibri Light">
    <w:panose1 w:val="020F0302020204030204"/>
    <w:charset w:val="00"/>
    <w:family w:val="swiss"/>
    <w:pitch w:val="variable"/>
    <w:sig w:usb0="E4002EFF" w:usb1="C000247B" w:usb2="00000009" w:usb3="00000000" w:csb0="000001FF" w:csb1="00000000"/>
    <w:embedRegular r:id="rId7" w:fontKey="{8A30EC35-CA95-4838-95DF-C551CA2EF139}"/>
  </w:font>
  <w:font w:name="Montserrat">
    <w:altName w:val="Calibri"/>
    <w:charset w:val="00"/>
    <w:family w:val="auto"/>
    <w:pitch w:val="variable"/>
    <w:sig w:usb0="2000020F" w:usb1="00000003" w:usb2="00000000" w:usb3="00000000" w:csb0="00000197" w:csb1="00000000"/>
    <w:embedRegular r:id="rId8" w:fontKey="{9574CD83-85D3-4296-B0BA-A726E7985068}"/>
    <w:embedBold r:id="rId9" w:fontKey="{01FF3B0A-B8B9-4D5E-A914-E0BDFBA3E1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76CB2" w14:textId="77777777" w:rsidR="00171312" w:rsidRPr="00716D7C" w:rsidRDefault="00B631E7" w:rsidP="00716D7C">
    <w:r>
      <w:rPr>
        <w:noProof/>
        <w:lang w:val="fr-BE" w:eastAsia="fr-BE"/>
      </w:rPr>
      <mc:AlternateContent>
        <mc:Choice Requires="wps">
          <w:drawing>
            <wp:anchor distT="45720" distB="45720" distL="114300" distR="114300" simplePos="0" relativeHeight="251660288" behindDoc="0" locked="0" layoutInCell="1" allowOverlap="1" wp14:anchorId="4AFDED72" wp14:editId="0A8B07F5">
              <wp:simplePos x="0" y="0"/>
              <wp:positionH relativeFrom="margin">
                <wp:posOffset>-584835</wp:posOffset>
              </wp:positionH>
              <wp:positionV relativeFrom="page">
                <wp:posOffset>9940925</wp:posOffset>
              </wp:positionV>
              <wp:extent cx="595376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1404620"/>
                      </a:xfrm>
                      <a:prstGeom prst="rect">
                        <a:avLst/>
                      </a:prstGeom>
                      <a:noFill/>
                      <a:ln w="9525">
                        <a:noFill/>
                        <a:miter lim="800000"/>
                        <a:headEnd/>
                        <a:tailEnd/>
                      </a:ln>
                    </wps:spPr>
                    <wps:txbx>
                      <w:txbxContent>
                        <w:p w14:paraId="75B8EC0E" w14:textId="77777777" w:rsidR="00B631E7" w:rsidRPr="009D40C9" w:rsidRDefault="00B631E7" w:rsidP="009D40C9">
                          <w:pPr>
                            <w:pStyle w:val="NoSpacing"/>
                            <w:rPr>
                              <w:color w:val="FFFFFF" w:themeColor="background1"/>
                              <w:sz w:val="18"/>
                              <w:szCs w:val="18"/>
                            </w:rPr>
                          </w:pPr>
                          <w:r>
                            <w:rPr>
                              <w:color w:val="FFFFFF" w:themeColor="background1"/>
                              <w:sz w:val="18"/>
                              <w:szCs w:val="18"/>
                            </w:rPr>
                            <w:t xml:space="preserve">Copa - Cogeca | Agriculteurs et coopératives agricoles d'Europe </w:t>
                          </w:r>
                        </w:p>
                        <w:p w14:paraId="5244D54A" w14:textId="2ED0BF20" w:rsidR="00B631E7" w:rsidRPr="009D40C9" w:rsidRDefault="00B631E7" w:rsidP="009D40C9">
                          <w:pPr>
                            <w:pStyle w:val="NoSpacing"/>
                            <w:rPr>
                              <w:color w:val="FFFFFF" w:themeColor="background1"/>
                              <w:sz w:val="18"/>
                              <w:szCs w:val="18"/>
                            </w:rPr>
                          </w:pPr>
                          <w:r>
                            <w:rPr>
                              <w:color w:val="FFFFFF" w:themeColor="background1"/>
                              <w:sz w:val="18"/>
                              <w:szCs w:val="18"/>
                            </w:rPr>
                            <w:t>61, Rue de Trèves | B - 1040 Bruxelles | www.copa-cogeca.eu</w:t>
                          </w:r>
                          <w:r w:rsidR="00404611">
                            <w:rPr>
                              <w:color w:val="FFFFFF" w:themeColor="background1"/>
                              <w:sz w:val="18"/>
                              <w:szCs w:val="18"/>
                            </w:rPr>
                            <w:t xml:space="preserve"> </w:t>
                          </w:r>
                        </w:p>
                        <w:p w14:paraId="35B749A1" w14:textId="0D08245C" w:rsidR="00B631E7" w:rsidRPr="009D40C9" w:rsidRDefault="00B631E7" w:rsidP="009D40C9">
                          <w:pPr>
                            <w:pStyle w:val="NoSpacing"/>
                            <w:rPr>
                              <w:color w:val="FFFFFF" w:themeColor="background1"/>
                              <w:sz w:val="18"/>
                              <w:szCs w:val="18"/>
                            </w:rPr>
                          </w:pPr>
                          <w:r>
                            <w:rPr>
                              <w:color w:val="FFFFFF" w:themeColor="background1"/>
                              <w:sz w:val="18"/>
                              <w:szCs w:val="18"/>
                            </w:rPr>
                            <w:t>Numéro au Registre européen de transparence</w:t>
                          </w:r>
                          <w:r w:rsidR="00404611">
                            <w:rPr>
                              <w:color w:val="FFFFFF" w:themeColor="background1"/>
                              <w:sz w:val="18"/>
                              <w:szCs w:val="18"/>
                            </w:rPr>
                            <w:t xml:space="preserve"> </w:t>
                          </w:r>
                          <w:r>
                            <w:rPr>
                              <w:color w:val="FFFFFF" w:themeColor="background1"/>
                              <w:sz w:val="18"/>
                              <w:szCs w:val="18"/>
                            </w:rPr>
                            <w:t>| Copa 44856881231-49</w:t>
                          </w:r>
                          <w:r w:rsidR="00404611">
                            <w:rPr>
                              <w:color w:val="FFFFFF" w:themeColor="background1"/>
                              <w:sz w:val="18"/>
                              <w:szCs w:val="18"/>
                            </w:rPr>
                            <w:t xml:space="preserve"> </w:t>
                          </w:r>
                          <w:r>
                            <w:rPr>
                              <w:color w:val="FFFFFF" w:themeColor="background1"/>
                              <w:sz w:val="18"/>
                              <w:szCs w:val="18"/>
                            </w:rPr>
                            <w:t>| Cogeca 09586631237-74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FDED72" id="_x0000_t202" coordsize="21600,21600" o:spt="202" path="m,l,21600r21600,l21600,xe">
              <v:stroke joinstyle="miter"/>
              <v:path gradientshapeok="t" o:connecttype="rect"/>
            </v:shapetype>
            <v:shape id="Text Box 2" o:spid="_x0000_s1026" type="#_x0000_t202" style="position:absolute;left:0;text-align:left;margin-left:-46.05pt;margin-top:782.75pt;width:468.8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F5n+wEAAM4DAAAOAAAAZHJzL2Uyb0RvYy54bWysU8tu2zAQvBfoPxC815Jd24k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" filled="f" stroked="f">
              <v:textbox style="mso-fit-shape-to-text:t">
                <w:txbxContent>
                  <w:p w14:paraId="75B8EC0E" w14:textId="77777777" w:rsidR="00B631E7" w:rsidRPr="009D40C9" w:rsidRDefault="00B631E7" w:rsidP="009D40C9">
                    <w:pPr>
                      <w:pStyle w:val="NoSpacing"/>
                      <w:rPr>
                        <w:color w:val="FFFFFF" w:themeColor="background1"/>
                        <w:sz w:val="18"/>
                        <w:szCs w:val="18"/>
                      </w:rPr>
                    </w:pPr>
                    <w:r>
                      <w:rPr>
                        <w:color w:val="FFFFFF" w:themeColor="background1"/>
                        <w:sz w:val="18"/>
                        <w:szCs w:val="18"/>
                      </w:rPr>
                      <w:t xml:space="preserve">Copa - Cogeca | Agriculteurs et coopératives agricoles d'Europe </w:t>
                    </w:r>
                  </w:p>
                  <w:p w14:paraId="5244D54A" w14:textId="2ED0BF20" w:rsidR="00B631E7" w:rsidRPr="009D40C9" w:rsidRDefault="00B631E7" w:rsidP="009D40C9">
                    <w:pPr>
                      <w:pStyle w:val="NoSpacing"/>
                      <w:rPr>
                        <w:color w:val="FFFFFF" w:themeColor="background1"/>
                        <w:sz w:val="18"/>
                        <w:szCs w:val="18"/>
                      </w:rPr>
                    </w:pPr>
                    <w:r>
                      <w:rPr>
                        <w:color w:val="FFFFFF" w:themeColor="background1"/>
                        <w:sz w:val="18"/>
                        <w:szCs w:val="18"/>
                      </w:rPr>
                      <w:t>61, Rue de Trèves | B - 1040 Bruxelles | www.copa-cogeca.eu</w:t>
                    </w:r>
                    <w:r w:rsidR="00404611">
                      <w:rPr>
                        <w:color w:val="FFFFFF" w:themeColor="background1"/>
                        <w:sz w:val="18"/>
                        <w:szCs w:val="18"/>
                      </w:rPr>
                      <w:t xml:space="preserve"> </w:t>
                    </w:r>
                  </w:p>
                  <w:p w14:paraId="35B749A1" w14:textId="0D08245C" w:rsidR="00B631E7" w:rsidRPr="009D40C9" w:rsidRDefault="00B631E7" w:rsidP="009D40C9">
                    <w:pPr>
                      <w:pStyle w:val="NoSpacing"/>
                      <w:rPr>
                        <w:color w:val="FFFFFF" w:themeColor="background1"/>
                        <w:sz w:val="18"/>
                        <w:szCs w:val="18"/>
                      </w:rPr>
                    </w:pPr>
                    <w:r>
                      <w:rPr>
                        <w:color w:val="FFFFFF" w:themeColor="background1"/>
                        <w:sz w:val="18"/>
                        <w:szCs w:val="18"/>
                      </w:rPr>
                      <w:t>Numéro au Registre européen de transparence</w:t>
                    </w:r>
                    <w:r w:rsidR="00404611">
                      <w:rPr>
                        <w:color w:val="FFFFFF" w:themeColor="background1"/>
                        <w:sz w:val="18"/>
                        <w:szCs w:val="18"/>
                      </w:rPr>
                      <w:t xml:space="preserve"> </w:t>
                    </w:r>
                    <w:r>
                      <w:rPr>
                        <w:color w:val="FFFFFF" w:themeColor="background1"/>
                        <w:sz w:val="18"/>
                        <w:szCs w:val="18"/>
                      </w:rPr>
                      <w:t>| Copa 44856881231-49</w:t>
                    </w:r>
                    <w:r w:rsidR="00404611">
                      <w:rPr>
                        <w:color w:val="FFFFFF" w:themeColor="background1"/>
                        <w:sz w:val="18"/>
                        <w:szCs w:val="18"/>
                      </w:rPr>
                      <w:t xml:space="preserve"> </w:t>
                    </w:r>
                    <w:r>
                      <w:rPr>
                        <w:color w:val="FFFFFF" w:themeColor="background1"/>
                        <w:sz w:val="18"/>
                        <w:szCs w:val="18"/>
                      </w:rPr>
                      <w:t>| Cogeca 09586631237-74</w:t>
                    </w:r>
                  </w:p>
                </w:txbxContent>
              </v:textbox>
              <w10:wrap type="square" anchorx="margin" anchory="page"/>
            </v:shape>
          </w:pict>
        </mc:Fallback>
      </mc:AlternateContent>
    </w:r>
    <w:r>
      <w:rPr>
        <w:noProof/>
        <w:lang w:val="fr-BE" w:eastAsia="fr-BE"/>
      </w:rPr>
      <w:drawing>
        <wp:anchor distT="0" distB="0" distL="114300" distR="114300" simplePos="0" relativeHeight="251658240" behindDoc="1" locked="0" layoutInCell="1" allowOverlap="1" wp14:anchorId="12BCF7CE" wp14:editId="767B5D58">
          <wp:simplePos x="0" y="0"/>
          <wp:positionH relativeFrom="page">
            <wp:posOffset>28245</wp:posOffset>
          </wp:positionH>
          <wp:positionV relativeFrom="paragraph">
            <wp:posOffset>-513624</wp:posOffset>
          </wp:positionV>
          <wp:extent cx="7496834" cy="1347470"/>
          <wp:effectExtent l="0" t="0" r="889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96834" cy="13474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4B747" w14:textId="77777777" w:rsidR="00883377" w:rsidRPr="00716D7C" w:rsidRDefault="00883377" w:rsidP="00716D7C">
      <w:r>
        <w:separator/>
      </w:r>
    </w:p>
  </w:footnote>
  <w:footnote w:type="continuationSeparator" w:id="0">
    <w:p w14:paraId="491C59DA" w14:textId="77777777" w:rsidR="00883377" w:rsidRPr="00716D7C" w:rsidRDefault="00883377" w:rsidP="00716D7C">
      <w:r>
        <w:continuationSeparator/>
      </w:r>
    </w:p>
  </w:footnote>
  <w:footnote w:id="1">
    <w:p w14:paraId="4BCE3A1A" w14:textId="77777777" w:rsidR="00647ACC" w:rsidRPr="00647ACC" w:rsidRDefault="00647ACC" w:rsidP="00647ACC">
      <w:pPr>
        <w:pStyle w:val="FootnoteText"/>
        <w:jc w:val="both"/>
        <w:rPr>
          <w:rFonts w:ascii="Montserrat Light" w:hAnsi="Montserrat Light"/>
          <w:sz w:val="14"/>
          <w:szCs w:val="14"/>
        </w:rPr>
      </w:pPr>
      <w:r>
        <w:rPr>
          <w:rStyle w:val="FootnoteReference"/>
          <w:rFonts w:ascii="Montserrat Light" w:hAnsi="Montserrat Light"/>
          <w:sz w:val="14"/>
          <w:szCs w:val="14"/>
        </w:rPr>
        <w:footnoteRef/>
      </w:r>
      <w:r>
        <w:rPr>
          <w:rFonts w:ascii="Montserrat Light" w:hAnsi="Montserrat Light"/>
          <w:sz w:val="14"/>
          <w:szCs w:val="14"/>
        </w:rPr>
        <w:t xml:space="preserve"> https://publications.jrc.ec.europa.eu/repository/handle/JRC121368 </w:t>
      </w:r>
    </w:p>
  </w:footnote>
  <w:footnote w:id="2">
    <w:p w14:paraId="4197D3FB" w14:textId="77777777" w:rsidR="00647ACC" w:rsidRPr="00647ACC" w:rsidRDefault="00647ACC" w:rsidP="00647ACC">
      <w:pPr>
        <w:pStyle w:val="FootnoteText"/>
        <w:jc w:val="both"/>
        <w:rPr>
          <w:rFonts w:ascii="Montserrat Light" w:hAnsi="Montserrat Light"/>
          <w:sz w:val="14"/>
          <w:szCs w:val="14"/>
        </w:rPr>
      </w:pPr>
      <w:r>
        <w:rPr>
          <w:rStyle w:val="FootnoteReference"/>
          <w:rFonts w:ascii="Montserrat Light" w:hAnsi="Montserrat Light"/>
          <w:sz w:val="14"/>
          <w:szCs w:val="14"/>
        </w:rPr>
        <w:footnoteRef/>
      </w:r>
      <w:r>
        <w:rPr>
          <w:rFonts w:ascii="Montserrat Light" w:hAnsi="Montserrat Light"/>
          <w:sz w:val="14"/>
          <w:szCs w:val="14"/>
        </w:rPr>
        <w:t xml:space="preserve"> https://www.fas.usda.gov/newsroom/economic-and-food-security-impacts-eu-farm-fork-strategy</w:t>
      </w:r>
    </w:p>
  </w:footnote>
  <w:footnote w:id="3">
    <w:p w14:paraId="78AC2A88" w14:textId="77777777" w:rsidR="00647ACC" w:rsidRPr="00647ACC" w:rsidRDefault="00647ACC" w:rsidP="00647ACC">
      <w:pPr>
        <w:rPr>
          <w:sz w:val="14"/>
          <w:szCs w:val="14"/>
        </w:rPr>
      </w:pPr>
      <w:r>
        <w:rPr>
          <w:rStyle w:val="FootnoteReference"/>
          <w:sz w:val="14"/>
          <w:szCs w:val="14"/>
        </w:rPr>
        <w:footnoteRef/>
      </w:r>
      <w:r>
        <w:rPr>
          <w:sz w:val="14"/>
          <w:szCs w:val="14"/>
        </w:rPr>
        <w:t xml:space="preserve"> https://grain-club.de/fileadmin/user_upload/Dokumente/Farm_to_fork_Studie_Executive_Summary_EN.pdf</w:t>
      </w:r>
    </w:p>
  </w:footnote>
  <w:footnote w:id="4">
    <w:p w14:paraId="7FE8A840" w14:textId="77777777" w:rsidR="00647ACC" w:rsidRPr="00647ACC" w:rsidRDefault="00647ACC" w:rsidP="00647ACC">
      <w:pPr>
        <w:pStyle w:val="FootnoteText"/>
        <w:jc w:val="both"/>
        <w:rPr>
          <w:rFonts w:ascii="Montserrat Light" w:hAnsi="Montserrat Light"/>
          <w:sz w:val="18"/>
          <w:szCs w:val="18"/>
        </w:rPr>
      </w:pPr>
      <w:r>
        <w:rPr>
          <w:rStyle w:val="FootnoteReference"/>
          <w:rFonts w:ascii="Montserrat Light" w:hAnsi="Montserrat Light"/>
          <w:sz w:val="14"/>
          <w:szCs w:val="14"/>
        </w:rPr>
        <w:footnoteRef/>
      </w:r>
      <w:r>
        <w:rPr>
          <w:rFonts w:ascii="Montserrat Light" w:hAnsi="Montserrat Light"/>
          <w:sz w:val="14"/>
          <w:szCs w:val="14"/>
        </w:rPr>
        <w:t xml:space="preserve"> https://hffa-research.com/wp-content/uploads/2021/05/HFFA-Research-The-socio-economic-and-environmental-values-of-plant-breeding-in-the-EU.pdf</w:t>
      </w:r>
    </w:p>
  </w:footnote>
  <w:footnote w:id="5">
    <w:p w14:paraId="1B8BA167" w14:textId="77777777" w:rsidR="00647ACC" w:rsidRPr="000931B8" w:rsidRDefault="00647ACC" w:rsidP="00647ACC">
      <w:pPr>
        <w:pStyle w:val="FootnoteText"/>
        <w:rPr>
          <w:rFonts w:ascii="Montserrat Light" w:hAnsi="Montserrat Light"/>
          <w:sz w:val="14"/>
          <w:szCs w:val="14"/>
        </w:rPr>
      </w:pPr>
      <w:r w:rsidRPr="000931B8">
        <w:rPr>
          <w:rStyle w:val="FootnoteReference"/>
          <w:rFonts w:ascii="Montserrat Light" w:hAnsi="Montserrat Light"/>
          <w:sz w:val="14"/>
          <w:szCs w:val="14"/>
        </w:rPr>
        <w:footnoteRef/>
      </w:r>
      <w:r w:rsidRPr="000931B8">
        <w:rPr>
          <w:rFonts w:ascii="Montserrat Light" w:hAnsi="Montserrat Light"/>
          <w:sz w:val="14"/>
          <w:szCs w:val="14"/>
        </w:rPr>
        <w:t xml:space="preserve"> AEE (2018), Phillips McDougall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3F7E8" w14:textId="77777777" w:rsidR="003D1D89" w:rsidRPr="00B953B8" w:rsidRDefault="003D1D89" w:rsidP="002D57AF">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0294666">
    <w:abstractNumId w:val="9"/>
  </w:num>
  <w:num w:numId="2" w16cid:durableId="2033800356">
    <w:abstractNumId w:val="7"/>
  </w:num>
  <w:num w:numId="3" w16cid:durableId="1433360054">
    <w:abstractNumId w:val="6"/>
  </w:num>
  <w:num w:numId="4" w16cid:durableId="1244298407">
    <w:abstractNumId w:val="5"/>
  </w:num>
  <w:num w:numId="5" w16cid:durableId="465896450">
    <w:abstractNumId w:val="4"/>
  </w:num>
  <w:num w:numId="6" w16cid:durableId="705524744">
    <w:abstractNumId w:val="8"/>
  </w:num>
  <w:num w:numId="7" w16cid:durableId="637077341">
    <w:abstractNumId w:val="3"/>
  </w:num>
  <w:num w:numId="8" w16cid:durableId="691614144">
    <w:abstractNumId w:val="2"/>
  </w:num>
  <w:num w:numId="9" w16cid:durableId="1917476314">
    <w:abstractNumId w:val="1"/>
  </w:num>
  <w:num w:numId="10" w16cid:durableId="4189139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6E2"/>
    <w:rsid w:val="00006AB9"/>
    <w:rsid w:val="00071DB6"/>
    <w:rsid w:val="000931B8"/>
    <w:rsid w:val="000B1D84"/>
    <w:rsid w:val="000D2B3B"/>
    <w:rsid w:val="000D34BA"/>
    <w:rsid w:val="00100850"/>
    <w:rsid w:val="00117877"/>
    <w:rsid w:val="0013357E"/>
    <w:rsid w:val="00146C88"/>
    <w:rsid w:val="0015598F"/>
    <w:rsid w:val="001648FF"/>
    <w:rsid w:val="00165DC9"/>
    <w:rsid w:val="00171312"/>
    <w:rsid w:val="00175F2B"/>
    <w:rsid w:val="00182716"/>
    <w:rsid w:val="00187A93"/>
    <w:rsid w:val="001950AD"/>
    <w:rsid w:val="001E1ED9"/>
    <w:rsid w:val="001F1C55"/>
    <w:rsid w:val="00215D96"/>
    <w:rsid w:val="00235A0D"/>
    <w:rsid w:val="00244682"/>
    <w:rsid w:val="002562CB"/>
    <w:rsid w:val="002606E9"/>
    <w:rsid w:val="002B0FFD"/>
    <w:rsid w:val="002D4EA5"/>
    <w:rsid w:val="002D57AF"/>
    <w:rsid w:val="002E02A5"/>
    <w:rsid w:val="003126C2"/>
    <w:rsid w:val="00327F42"/>
    <w:rsid w:val="00332710"/>
    <w:rsid w:val="00341D97"/>
    <w:rsid w:val="003503C8"/>
    <w:rsid w:val="003557C1"/>
    <w:rsid w:val="003747AC"/>
    <w:rsid w:val="00380165"/>
    <w:rsid w:val="0039774E"/>
    <w:rsid w:val="003B1D9A"/>
    <w:rsid w:val="003B68CB"/>
    <w:rsid w:val="003C0EEB"/>
    <w:rsid w:val="003C4C18"/>
    <w:rsid w:val="003D1D89"/>
    <w:rsid w:val="003F44AB"/>
    <w:rsid w:val="00404611"/>
    <w:rsid w:val="00445C22"/>
    <w:rsid w:val="00461631"/>
    <w:rsid w:val="004616E2"/>
    <w:rsid w:val="00467BDE"/>
    <w:rsid w:val="00486A5D"/>
    <w:rsid w:val="004A13F0"/>
    <w:rsid w:val="004C39C3"/>
    <w:rsid w:val="004D1FA4"/>
    <w:rsid w:val="004F6EE0"/>
    <w:rsid w:val="005202ED"/>
    <w:rsid w:val="0056456D"/>
    <w:rsid w:val="00590988"/>
    <w:rsid w:val="00592F70"/>
    <w:rsid w:val="005E5961"/>
    <w:rsid w:val="005E5BFB"/>
    <w:rsid w:val="00600ED3"/>
    <w:rsid w:val="00607BB2"/>
    <w:rsid w:val="00641635"/>
    <w:rsid w:val="00647ACC"/>
    <w:rsid w:val="006662C9"/>
    <w:rsid w:val="00671B34"/>
    <w:rsid w:val="006772EB"/>
    <w:rsid w:val="00681DA3"/>
    <w:rsid w:val="006A4601"/>
    <w:rsid w:val="006B673C"/>
    <w:rsid w:val="006B74EB"/>
    <w:rsid w:val="006C0583"/>
    <w:rsid w:val="006C4A88"/>
    <w:rsid w:val="006E59B7"/>
    <w:rsid w:val="006F5CEF"/>
    <w:rsid w:val="00716D7C"/>
    <w:rsid w:val="007306AC"/>
    <w:rsid w:val="00734E47"/>
    <w:rsid w:val="007556F3"/>
    <w:rsid w:val="00756DEA"/>
    <w:rsid w:val="00767438"/>
    <w:rsid w:val="00777A2D"/>
    <w:rsid w:val="007844E9"/>
    <w:rsid w:val="007B5E6E"/>
    <w:rsid w:val="007B6D94"/>
    <w:rsid w:val="007B7735"/>
    <w:rsid w:val="007C5E9B"/>
    <w:rsid w:val="007F3E4D"/>
    <w:rsid w:val="00800A86"/>
    <w:rsid w:val="00850375"/>
    <w:rsid w:val="00851336"/>
    <w:rsid w:val="00860527"/>
    <w:rsid w:val="00864920"/>
    <w:rsid w:val="00867FA8"/>
    <w:rsid w:val="00883377"/>
    <w:rsid w:val="008A0BFA"/>
    <w:rsid w:val="008C0429"/>
    <w:rsid w:val="008C0994"/>
    <w:rsid w:val="008D5A0D"/>
    <w:rsid w:val="008E7E54"/>
    <w:rsid w:val="008F3AB6"/>
    <w:rsid w:val="008F4138"/>
    <w:rsid w:val="009000CA"/>
    <w:rsid w:val="00901C69"/>
    <w:rsid w:val="00903528"/>
    <w:rsid w:val="0090748C"/>
    <w:rsid w:val="00922B6D"/>
    <w:rsid w:val="00925C9C"/>
    <w:rsid w:val="00947501"/>
    <w:rsid w:val="00955DDE"/>
    <w:rsid w:val="00990273"/>
    <w:rsid w:val="009D163E"/>
    <w:rsid w:val="009D40C9"/>
    <w:rsid w:val="009F1163"/>
    <w:rsid w:val="00A1126D"/>
    <w:rsid w:val="00A20342"/>
    <w:rsid w:val="00A63781"/>
    <w:rsid w:val="00A64A82"/>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133CB"/>
    <w:rsid w:val="00C20330"/>
    <w:rsid w:val="00C26FE0"/>
    <w:rsid w:val="00C435EA"/>
    <w:rsid w:val="00C5271A"/>
    <w:rsid w:val="00C544BA"/>
    <w:rsid w:val="00CA4F69"/>
    <w:rsid w:val="00CC4394"/>
    <w:rsid w:val="00CE19D7"/>
    <w:rsid w:val="00CF4B85"/>
    <w:rsid w:val="00CF7E0E"/>
    <w:rsid w:val="00D1533B"/>
    <w:rsid w:val="00D239FF"/>
    <w:rsid w:val="00D66617"/>
    <w:rsid w:val="00D72C78"/>
    <w:rsid w:val="00DF6217"/>
    <w:rsid w:val="00E02C7F"/>
    <w:rsid w:val="00E05511"/>
    <w:rsid w:val="00E2211C"/>
    <w:rsid w:val="00E510B1"/>
    <w:rsid w:val="00E6542D"/>
    <w:rsid w:val="00E6727E"/>
    <w:rsid w:val="00E72924"/>
    <w:rsid w:val="00E9016C"/>
    <w:rsid w:val="00E92FBE"/>
    <w:rsid w:val="00E95D41"/>
    <w:rsid w:val="00EA132D"/>
    <w:rsid w:val="00F145A0"/>
    <w:rsid w:val="00F25A49"/>
    <w:rsid w:val="00F4320D"/>
    <w:rsid w:val="00F52C33"/>
    <w:rsid w:val="00F53D64"/>
    <w:rsid w:val="00F63519"/>
    <w:rsid w:val="00FB0E87"/>
    <w:rsid w:val="00FE486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499E1"/>
  <w15:chartTrackingRefBased/>
  <w15:docId w15:val="{4FD77F27-3F4E-4938-8A83-AF20C61CA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DF6217"/>
    <w:rPr>
      <w:color w:val="6B7213"/>
      <w:u w:val="single"/>
    </w:rPr>
  </w:style>
  <w:style w:type="character" w:customStyle="1" w:styleId="UnresolvedMention1">
    <w:name w:val="Unresolved Mention1"/>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rPr>
  </w:style>
  <w:style w:type="character" w:customStyle="1" w:styleId="CCNoSpacing">
    <w:name w:val="CC No Spacing"/>
    <w:basedOn w:val="DefaultParagraphFont"/>
    <w:uiPriority w:val="1"/>
    <w:qFormat/>
    <w:rsid w:val="003F44AB"/>
    <w:rPr>
      <w:rFonts w:ascii="Montserrat Light" w:hAnsi="Montserrat Light"/>
      <w:sz w:val="22"/>
    </w:rPr>
  </w:style>
  <w:style w:type="paragraph" w:styleId="FootnoteText">
    <w:name w:val="footnote text"/>
    <w:basedOn w:val="Normal"/>
    <w:link w:val="FootnoteTextChar"/>
    <w:uiPriority w:val="99"/>
    <w:semiHidden/>
    <w:unhideWhenUsed/>
    <w:locked/>
    <w:rsid w:val="00647ACC"/>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47ACC"/>
    <w:rPr>
      <w:sz w:val="20"/>
      <w:szCs w:val="20"/>
    </w:rPr>
  </w:style>
  <w:style w:type="character" w:styleId="FootnoteReference">
    <w:name w:val="footnote reference"/>
    <w:basedOn w:val="DefaultParagraphFont"/>
    <w:uiPriority w:val="99"/>
    <w:semiHidden/>
    <w:unhideWhenUsed/>
    <w:locked/>
    <w:rsid w:val="00647A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47F21ED28354AA8B31EE2810B1AA437"/>
        <w:category>
          <w:name w:val="General"/>
          <w:gallery w:val="placeholder"/>
        </w:category>
        <w:types>
          <w:type w:val="bbPlcHdr"/>
        </w:types>
        <w:behaviors>
          <w:behavior w:val="content"/>
        </w:behaviors>
        <w:guid w:val="{374EEA1A-7C3E-421C-A67C-765825D71C58}"/>
      </w:docPartPr>
      <w:docPartBody>
        <w:p w:rsidR="004E63F2" w:rsidRDefault="00677B82">
          <w:pPr>
            <w:pStyle w:val="147F21ED28354AA8B31EE2810B1AA437"/>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ontserrat">
    <w:altName w:val="Calibri"/>
    <w:charset w:val="00"/>
    <w:family w:val="auto"/>
    <w:pitch w:val="variable"/>
    <w:sig w:usb0="2000020F" w:usb1="00000003" w:usb2="00000000"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3F2"/>
    <w:rsid w:val="00395C87"/>
    <w:rsid w:val="004E63F2"/>
    <w:rsid w:val="00677B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47F21ED28354AA8B31EE2810B1AA437">
    <w:name w:val="147F21ED28354AA8B31EE2810B1AA4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E8A8BAF-0FA5-484E-8F76-1C8BE7708232}">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0" ma:contentTypeDescription="Create a new document." ma:contentTypeScope="" ma:versionID="5a138d4d949965b4fabd134cbae0d594">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67F1E7-44CE-43A9-BAA8-65E9538129D0}">
  <ds:schemaRefs>
    <ds:schemaRef ds:uri="http://schemas.microsoft.com/office/infopath/2007/PartnerControls"/>
    <ds:schemaRef ds:uri="http://purl.org/dc/terms/"/>
    <ds:schemaRef ds:uri="http://purl.org/dc/dcmitype/"/>
    <ds:schemaRef ds:uri="http://purl.org/dc/elements/1.1/"/>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3.xml><?xml version="1.0" encoding="utf-8"?>
<ds:datastoreItem xmlns:ds="http://schemas.openxmlformats.org/officeDocument/2006/customXml" ds:itemID="{5F90A14D-4B83-41EB-89FA-B2502F50D3BC}">
  <ds:schemaRefs>
    <ds:schemaRef ds:uri="http://schemas.openxmlformats.org/officeDocument/2006/bibliography"/>
  </ds:schemaRefs>
</ds:datastoreItem>
</file>

<file path=customXml/itemProps4.xml><?xml version="1.0" encoding="utf-8"?>
<ds:datastoreItem xmlns:ds="http://schemas.openxmlformats.org/officeDocument/2006/customXml" ds:itemID="{2D7C6ABB-D913-433E-993E-CE16E9EB6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853</Words>
  <Characters>4778</Characters>
  <Application>Microsoft Office Word</Application>
  <DocSecurity>0</DocSecurity>
  <Lines>84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Lahouegue</dc:creator>
  <cp:keywords/>
  <dc:description/>
  <cp:lastModifiedBy>Alicia Cruz</cp:lastModifiedBy>
  <cp:revision>5</cp:revision>
  <cp:lastPrinted>2022-12-19T09:39:00Z</cp:lastPrinted>
  <dcterms:created xsi:type="dcterms:W3CDTF">2022-12-22T08:14:00Z</dcterms:created>
  <dcterms:modified xsi:type="dcterms:W3CDTF">2022-12-22T10:15:00Z</dcterms:modified>
</cp:coreProperties>
</file>

<file path=docProps/custom.xml><?xml version="1.0" encoding="utf-8"?>
<op:Properties xmlns:vt="http://schemas.openxmlformats.org/officeDocument/2006/docPropsVTypes" xmlns:op="http://schemas.openxmlformats.org/officeDocument/2006/custom-properties"/>
</file>