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22338751"/>
    <w:bookmarkStart w:id="1" w:name="_GoBack"/>
    <w:bookmarkEnd w:id="1"/>
    <w:p w14:paraId="067AE3FE" w14:textId="77777777" w:rsidR="008D5A0D" w:rsidRDefault="008C3BEC" w:rsidP="00F145A0">
      <w:pPr>
        <w:jc w:val="right"/>
      </w:pPr>
      <w:sdt>
        <w:sdtPr>
          <w:rPr>
            <w:noProof/>
          </w:rPr>
          <w:alias w:val="Insert Logo"/>
          <w:tag w:val="Insert Logo"/>
          <w:id w:val="-1871138787"/>
          <w:lock w:val="sdtLocked"/>
          <w:picture/>
        </w:sdtPr>
        <w:sdtEndPr/>
        <w:sdtContent>
          <w:r w:rsidR="005E5BFB">
            <w:rPr>
              <w:noProof/>
              <w:lang w:val="fr-BE" w:eastAsia="fr-BE"/>
            </w:rPr>
            <w:drawing>
              <wp:inline distT="0" distB="0" distL="0" distR="0" wp14:anchorId="1AECD7C6" wp14:editId="0B1E92FC">
                <wp:extent cx="2085874" cy="521468"/>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963" cy="532240"/>
                        </a:xfrm>
                        <a:prstGeom prst="rect">
                          <a:avLst/>
                        </a:prstGeom>
                      </pic:spPr>
                    </pic:pic>
                  </a:graphicData>
                </a:graphic>
              </wp:inline>
            </w:drawing>
          </w:r>
        </w:sdtContent>
      </w:sdt>
    </w:p>
    <w:p w14:paraId="70F5A662" w14:textId="16A098D3" w:rsidR="00767438" w:rsidRPr="00647ACC" w:rsidRDefault="004616E2" w:rsidP="00244682">
      <w:pPr>
        <w:rPr>
          <w:sz w:val="21"/>
          <w:szCs w:val="21"/>
        </w:rPr>
      </w:pPr>
      <w:r>
        <w:rPr>
          <w:rStyle w:val="CCNormal"/>
          <w:sz w:val="21"/>
          <w:szCs w:val="21"/>
        </w:rPr>
        <w:t>19.12.2022 r.</w:t>
      </w:r>
    </w:p>
    <w:p w14:paraId="1AFCE216" w14:textId="26DA497A" w:rsidR="00182716" w:rsidRPr="00647ACC" w:rsidRDefault="00647ACC" w:rsidP="00B22284">
      <w:pPr>
        <w:rPr>
          <w:rStyle w:val="CCType"/>
          <w:sz w:val="44"/>
          <w:szCs w:val="28"/>
        </w:rPr>
      </w:pPr>
      <w:r>
        <w:rPr>
          <w:rStyle w:val="CCType"/>
          <w:sz w:val="44"/>
          <w:szCs w:val="28"/>
        </w:rPr>
        <w:t>Komunikat prasowy</w:t>
      </w:r>
    </w:p>
    <w:p w14:paraId="5D12DA2D" w14:textId="77777777" w:rsidR="00647ACC" w:rsidRPr="00647ACC" w:rsidRDefault="00647ACC" w:rsidP="00647ACC">
      <w:pPr>
        <w:rPr>
          <w:b/>
          <w:bCs/>
          <w:sz w:val="28"/>
          <w:szCs w:val="24"/>
        </w:rPr>
      </w:pPr>
      <w:r>
        <w:rPr>
          <w:b/>
          <w:bCs/>
          <w:sz w:val="28"/>
          <w:szCs w:val="24"/>
        </w:rPr>
        <w:t>Copa i Cogeca z zadowoleniem przyjmują wezwanie do przeprowadzenia uzupełniającej oceny skutków odnośnie wniosku w sprawie SUR</w:t>
      </w:r>
    </w:p>
    <w:p w14:paraId="7AD11BB5" w14:textId="77777777" w:rsidR="00647ACC" w:rsidRPr="00647ACC" w:rsidRDefault="00647ACC" w:rsidP="00647ACC">
      <w:pPr>
        <w:rPr>
          <w:b/>
          <w:bCs/>
          <w:sz w:val="21"/>
          <w:szCs w:val="21"/>
        </w:rPr>
      </w:pPr>
      <w:r>
        <w:rPr>
          <w:b/>
          <w:bCs/>
          <w:sz w:val="21"/>
          <w:szCs w:val="21"/>
        </w:rPr>
        <w:t xml:space="preserve">Copa i Cogeca popierają prośbę przedstawioną w artykule 1 przyjętej decyzji Rady i podzielają jej obawy odnośnie nieuwzględnienia konsekwencji inwazji na Ukrainę oraz obecnych kosztów energii i cen żywności jeśli chodzi o potencjalny wpływ strategii od pola do stołu i rozporządzenia w sprawie zrównoważonego stosowania pestycydów (SUR) na unijne rolnictwo. </w:t>
      </w:r>
    </w:p>
    <w:p w14:paraId="4320E97D" w14:textId="77777777" w:rsidR="00647ACC" w:rsidRPr="00647ACC" w:rsidRDefault="00647ACC" w:rsidP="00647ACC">
      <w:pPr>
        <w:rPr>
          <w:sz w:val="21"/>
          <w:szCs w:val="21"/>
        </w:rPr>
      </w:pPr>
      <w:r>
        <w:rPr>
          <w:sz w:val="21"/>
          <w:szCs w:val="21"/>
        </w:rPr>
        <w:t xml:space="preserve">Oprócz publikacji wniosku dotyczącego prawa o odbudowie zasobów przyrodniczych 22 czerwca br. przez Komisję Europejską oraz zobowiązania do ograniczenia stosowania pestycydów o połowę do 2030 r., Copa i Cogeca odnotowały decyzję o „przeprowadzeniu wyczerpującej analizy wszystkich wymiarów czynników wpływających na bezpieczeństwo żywnościowe.” Decyzja ta jest w istocie niezbędna i sygnalizuje, jakie mogą być konsekwencje propozycji przedstawionych w czerwcu dla bezpieczeństwa żywnościowego, co wymaga przeprowadzenia złożonej analizy. </w:t>
      </w:r>
    </w:p>
    <w:p w14:paraId="60AA2844" w14:textId="77777777" w:rsidR="00647ACC" w:rsidRPr="00647ACC" w:rsidRDefault="00647ACC" w:rsidP="00647ACC">
      <w:pPr>
        <w:rPr>
          <w:i/>
          <w:iCs/>
          <w:sz w:val="21"/>
          <w:szCs w:val="21"/>
        </w:rPr>
      </w:pPr>
      <w:r>
        <w:rPr>
          <w:sz w:val="21"/>
          <w:szCs w:val="21"/>
        </w:rPr>
        <w:t>Wiceprzewodniczący Copa, Pedro Gallardo powiedział „</w:t>
      </w:r>
      <w:r>
        <w:rPr>
          <w:i/>
          <w:iCs/>
          <w:sz w:val="21"/>
          <w:szCs w:val="21"/>
        </w:rPr>
        <w:t>Ze względu na aktualne okoliczności (wojna w Ukrainie, zależność UE od środków produkcji z importu, np. energii i nawozów), gwałtownie rosnące ceny żywności w wielu krajach) bardzo ważne jest utrzymanie plonów rolnych na stabilnym poziomie, by móc wytwarzać wystarczające ilości wysokiej jakości produktów dostępnych po przystępnej cenie. Od lat społeczeństwo bierze bezpieczeństwo żywnościowe i przystępność cenową żywności ze pewnik. Sytuacja na arenie międzynarodowej zaczyna jednak niepokoić UE, co widać zwłaszcza na przykładzie najnowszych danych dotyczących rocznej inflacji. Copa i Cogeca zawsze udzielają jednoznacznego poparcia dla wspomnianych wezwań do przeprowadzenia uzupełniającej oceny skutków w celu ustalenia czy wykonalne będzie wdrożenie wniosku w sprawie SUR w zaproponowanym przez Komisję terminie. Zachęcaliśmy również Komisję Europejską do opracowania metody uwzględniania dotychczasowych osiągnięć dotyczących innowacji i stosowania integrowanej ochrony roślin w gospodarstwach, jak to miało miejsce w przypadku mierzenia i wyznaczania celów.”</w:t>
      </w:r>
    </w:p>
    <w:p w14:paraId="7AD799F5" w14:textId="77777777" w:rsidR="00647ACC" w:rsidRPr="00647ACC" w:rsidRDefault="00647ACC" w:rsidP="00647ACC">
      <w:pPr>
        <w:rPr>
          <w:sz w:val="21"/>
          <w:szCs w:val="21"/>
        </w:rPr>
      </w:pPr>
      <w:r>
        <w:rPr>
          <w:sz w:val="21"/>
          <w:szCs w:val="21"/>
        </w:rPr>
        <w:t xml:space="preserve">Copa i Cogeca doceniają działania podjęte przez Komisje, aby wykorzystać wszystkie dostępne w UE grunty oraz wdrożyć krótkoterminowe środki w celu wsparcia rolników i zagwarantowania przystępności cenowej dla obywateli. Jednakże sytuacja w UE oraz </w:t>
      </w:r>
      <w:r>
        <w:rPr>
          <w:sz w:val="21"/>
          <w:szCs w:val="21"/>
        </w:rPr>
        <w:lastRenderedPageBreak/>
        <w:t xml:space="preserve">na całym świecie uległa zmianie od grudnia 2019 r. (Zielony Ład UE) i maja 2020 r. (strategia od pola do stołu i strategia bioróżnorodności). </w:t>
      </w:r>
    </w:p>
    <w:p w14:paraId="3C3A435E" w14:textId="77777777" w:rsidR="00647ACC" w:rsidRPr="00647ACC" w:rsidRDefault="00647ACC" w:rsidP="00647ACC">
      <w:pPr>
        <w:rPr>
          <w:sz w:val="21"/>
          <w:szCs w:val="21"/>
        </w:rPr>
      </w:pPr>
      <w:r>
        <w:rPr>
          <w:sz w:val="21"/>
          <w:szCs w:val="21"/>
        </w:rPr>
        <w:t>W obliczu aktualnej niepewnej sytuacji politycznej, Copa i Cogeca uważa, że UE powinna skupić się bardziej niż kiedykolwiek na celu zapewnienia bezpieczeństwa żywnościowego zamiast przeprowadzać działania kosztem naszej produkcji. Na przykład, różne badania opublikowane przez ostatnie dwa lata (WCB</w:t>
      </w:r>
      <w:r w:rsidRPr="00647ACC">
        <w:rPr>
          <w:sz w:val="21"/>
          <w:szCs w:val="21"/>
        </w:rPr>
        <w:footnoteReference w:id="1"/>
      </w:r>
      <w:r>
        <w:rPr>
          <w:sz w:val="21"/>
          <w:szCs w:val="21"/>
        </w:rPr>
        <w:t>, Wageningen, USDA</w:t>
      </w:r>
      <w:r w:rsidRPr="00647ACC">
        <w:rPr>
          <w:sz w:val="21"/>
          <w:szCs w:val="21"/>
        </w:rPr>
        <w:footnoteReference w:id="2"/>
      </w:r>
      <w:r>
        <w:rPr>
          <w:sz w:val="21"/>
          <w:szCs w:val="21"/>
        </w:rPr>
        <w:t>, COCERAL, Euroseeds, Uniwersytet w Kilonii</w:t>
      </w:r>
      <w:r w:rsidRPr="00647ACC">
        <w:rPr>
          <w:sz w:val="21"/>
          <w:szCs w:val="21"/>
        </w:rPr>
        <w:footnoteReference w:id="3"/>
      </w:r>
      <w:r>
        <w:rPr>
          <w:sz w:val="21"/>
          <w:szCs w:val="21"/>
        </w:rPr>
        <w:t>, INRAE, HFFA</w:t>
      </w:r>
      <w:r w:rsidRPr="00647ACC">
        <w:rPr>
          <w:sz w:val="21"/>
          <w:szCs w:val="21"/>
        </w:rPr>
        <w:footnoteReference w:id="4"/>
      </w:r>
      <w:r>
        <w:rPr>
          <w:sz w:val="21"/>
          <w:szCs w:val="21"/>
        </w:rPr>
        <w:t xml:space="preserve">) wskazują na martwiącą tendencję: produkcja unijnego rolnictwa znacznie spadnie, ceny zbytu oraz dochody rolników będą głęboko dotknięte, a korzyści dla środowiska obejmujące bezpieczeństwo żywnościowe i zrównoważoność będą ograniczone ze względu na przenoszenie skutków do krajów trzecich. </w:t>
      </w:r>
    </w:p>
    <w:p w14:paraId="22372E43" w14:textId="77777777" w:rsidR="00647ACC" w:rsidRPr="00647ACC" w:rsidRDefault="00647ACC" w:rsidP="00647ACC">
      <w:pPr>
        <w:rPr>
          <w:sz w:val="21"/>
          <w:szCs w:val="21"/>
        </w:rPr>
      </w:pPr>
      <w:r>
        <w:rPr>
          <w:sz w:val="21"/>
          <w:szCs w:val="21"/>
        </w:rPr>
        <w:t>Ponadto zależność UE od importu żywności drastycznie wzrośnie. Niektóre badania prognozują, że Unia Europejska stanie się importerem netto. Komisja powinna uwzględnić obecną sytuację społeczno-polityczną przed wdrożeniem przepisów, które będą stanowiły poważny cios dla unijnej produkcji rolnej. Oprócz tego ustawodawcy powinni w odpowiedni sposób ocenić dokonania unijnych rolników jeśli chodzi o zrównoważone stosowanie pestycydów. W Europie w ciągu ostatnich pięciu dekad znacząco spadło zużycie pestycydów i ryzyko z nim związane</w:t>
      </w:r>
      <w:r w:rsidRPr="00647ACC">
        <w:rPr>
          <w:sz w:val="21"/>
          <w:szCs w:val="21"/>
        </w:rPr>
        <w:footnoteReference w:id="5"/>
      </w:r>
      <w:r>
        <w:rPr>
          <w:sz w:val="21"/>
          <w:szCs w:val="21"/>
        </w:rPr>
        <w:t xml:space="preserve">. </w:t>
      </w:r>
    </w:p>
    <w:p w14:paraId="39F69443" w14:textId="77777777" w:rsidR="00647ACC" w:rsidRPr="00647ACC" w:rsidRDefault="00647ACC" w:rsidP="00647ACC">
      <w:pPr>
        <w:rPr>
          <w:sz w:val="21"/>
          <w:szCs w:val="21"/>
        </w:rPr>
      </w:pPr>
      <w:r>
        <w:rPr>
          <w:sz w:val="21"/>
          <w:szCs w:val="21"/>
        </w:rPr>
        <w:t xml:space="preserve">Bezpieczeństwo żywnościowe ma w dalszym ciągu znaczenie wysoce strategiczne. Z tego względu nie można wdrażać unijnego Zielonego Ładu kosztem produkcji w UE. Instytucje unijne powinny przyśpieszyć wszystkie działania mające na celu zapewnienie narzędzi, które umożliwią rolnictwu UE osiągnięcie tych celów i utrzymanie poziomu produkcji. Należy przeprowadzić transformację wspólnie z rolnikami pracującymi w terenie oraz prowadzić ciągły dialog między rolnikami a instutucjami unijnymi. </w:t>
      </w:r>
    </w:p>
    <w:p w14:paraId="156DAD56" w14:textId="77777777" w:rsidR="00925C9C" w:rsidRPr="00647ACC" w:rsidRDefault="00925C9C" w:rsidP="00235A0D">
      <w:pPr>
        <w:rPr>
          <w:sz w:val="21"/>
          <w:szCs w:val="21"/>
        </w:rPr>
      </w:pPr>
    </w:p>
    <w:p w14:paraId="2B9F7198" w14:textId="421EDC9F" w:rsidR="00182716" w:rsidRPr="00647ACC" w:rsidRDefault="008C3BEC" w:rsidP="00244682">
      <w:pPr>
        <w:rPr>
          <w:b/>
          <w:bCs/>
          <w:color w:val="697331"/>
          <w:sz w:val="21"/>
          <w:szCs w:val="21"/>
        </w:rPr>
      </w:pPr>
      <w:sdt>
        <w:sdtPr>
          <w:rPr>
            <w:b/>
            <w:bCs/>
            <w:color w:val="697331"/>
            <w:sz w:val="21"/>
            <w:szCs w:val="21"/>
          </w:rPr>
          <w:id w:val="636535682"/>
          <w:placeholder>
            <w:docPart w:val="147F21ED28354AA8B31EE2810B1AA437"/>
          </w:placeholder>
          <w:temporary/>
        </w:sdtPr>
        <w:sdtEndPr/>
        <w:sdtContent>
          <w:r w:rsidR="005E5BFB">
            <w:rPr>
              <w:b/>
              <w:bCs/>
              <w:color w:val="697331"/>
              <w:sz w:val="21"/>
              <w:szCs w:val="21"/>
            </w:rPr>
            <w:t>-KONIEC-</w:t>
          </w:r>
        </w:sdtContent>
      </w:sdt>
      <w:r w:rsidR="005E5BFB">
        <w:rPr>
          <w:b/>
          <w:bCs/>
          <w:color w:val="697331"/>
          <w:sz w:val="21"/>
          <w:szCs w:val="21"/>
        </w:rPr>
        <w:t xml:space="preserve"> </w:t>
      </w:r>
    </w:p>
    <w:p w14:paraId="35028931" w14:textId="77777777" w:rsidR="004616E2" w:rsidRPr="00647ACC" w:rsidRDefault="004616E2" w:rsidP="00244682">
      <w:pPr>
        <w:rPr>
          <w:b/>
          <w:bCs/>
          <w:color w:val="697331"/>
          <w:sz w:val="21"/>
          <w:szCs w:val="21"/>
          <w:lang w:val="en-GB"/>
        </w:rPr>
      </w:pPr>
    </w:p>
    <w:p w14:paraId="22112D9D" w14:textId="77777777" w:rsidR="004616E2" w:rsidRPr="00647ACC" w:rsidRDefault="004616E2" w:rsidP="004616E2">
      <w:pPr>
        <w:spacing w:after="200"/>
        <w:rPr>
          <w:sz w:val="21"/>
          <w:szCs w:val="21"/>
        </w:rPr>
      </w:pPr>
      <w:r>
        <w:rPr>
          <w:sz w:val="21"/>
          <w:szCs w:val="21"/>
        </w:rPr>
        <w:t>Tłumaczenie na EN, DE, ES ,FR, IT i RO będzie niedługo dostępne na stronie internetowej Copa-Cogeca.</w:t>
      </w:r>
    </w:p>
    <w:p w14:paraId="0FA5C74A" w14:textId="77777777" w:rsidR="004616E2" w:rsidRPr="004616E2" w:rsidRDefault="004616E2" w:rsidP="00244682">
      <w:pPr>
        <w:rPr>
          <w:lang w:val="en-GB"/>
        </w:rPr>
      </w:pPr>
    </w:p>
    <w:sdt>
      <w:sdtPr>
        <w:rPr>
          <w:rFonts w:ascii="Montserrat Light" w:eastAsiaTheme="minorHAnsi" w:hAnsi="Montserrat Light" w:cstheme="minorBidi"/>
          <w:color w:val="58595B"/>
          <w:sz w:val="22"/>
          <w:szCs w:val="22"/>
        </w:rPr>
        <w:id w:val="-926261863"/>
        <w:lock w:val="sdtContentLocked"/>
        <w:placeholder>
          <w:docPart w:val="147F21ED28354AA8B31EE2810B1AA437"/>
        </w:placeholder>
      </w:sdtPr>
      <w:sdtEndPr/>
      <w:sdtContent>
        <w:p w14:paraId="46ADFF4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fr-BE" w:eastAsia="fr-BE"/>
            </w:rPr>
            <mc:AlternateContent>
              <mc:Choice Requires="wps">
                <w:drawing>
                  <wp:anchor distT="0" distB="0" distL="114300" distR="114300" simplePos="0" relativeHeight="251659264" behindDoc="0" locked="0" layoutInCell="1" allowOverlap="1" wp14:anchorId="2EF98F09" wp14:editId="36F11CA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88E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rPr>
        <w:id w:val="2040863808"/>
        <w:placeholder>
          <w:docPart w:val="147F21ED28354AA8B31EE2810B1AA437"/>
        </w:placeholder>
        <w:temporary/>
      </w:sdtPr>
      <w:sdtEndPr>
        <w:rPr>
          <w:rStyle w:val="CCNormal"/>
        </w:rPr>
      </w:sdtEndPr>
      <w:sdtContent>
        <w:p w14:paraId="1C269425" w14:textId="77777777" w:rsidR="00445C22" w:rsidRPr="00B953B8" w:rsidRDefault="00244682" w:rsidP="00445C22">
          <w:pPr>
            <w:pStyle w:val="NormalWeb"/>
            <w:shd w:val="clear" w:color="auto" w:fill="FFFFFF"/>
            <w:spacing w:before="0" w:beforeAutospacing="0"/>
            <w:rPr>
              <w:rFonts w:eastAsiaTheme="minorHAnsi"/>
            </w:rPr>
          </w:pPr>
          <w:r>
            <w:rPr>
              <w:rStyle w:val="CCNormal"/>
            </w:rPr>
            <w:t>Dalszych informacji udzielają:</w:t>
          </w:r>
        </w:p>
      </w:sdtContent>
    </w:sdt>
    <w:tbl>
      <w:tblPr>
        <w:tblW w:w="0" w:type="auto"/>
        <w:tblLook w:val="04A0" w:firstRow="1" w:lastRow="0" w:firstColumn="1" w:lastColumn="0" w:noHBand="0" w:noVBand="1"/>
      </w:tblPr>
      <w:tblGrid>
        <w:gridCol w:w="4253"/>
        <w:gridCol w:w="4763"/>
      </w:tblGrid>
      <w:tr w:rsidR="00E6727E" w14:paraId="2FE642C6" w14:textId="77777777" w:rsidTr="00716D7C">
        <w:tc>
          <w:tcPr>
            <w:tcW w:w="4253" w:type="dxa"/>
          </w:tcPr>
          <w:p w14:paraId="0F0E2204" w14:textId="2BA2D8D3" w:rsidR="00E6727E" w:rsidRPr="00647ACC" w:rsidRDefault="00647ACC" w:rsidP="00B953B8">
            <w:pPr>
              <w:pStyle w:val="NoSpacing"/>
            </w:pPr>
            <w:r>
              <w:lastRenderedPageBreak/>
              <w:t>Paula de Vera</w:t>
            </w:r>
          </w:p>
          <w:p w14:paraId="2C3BAD60" w14:textId="36076F91" w:rsidR="00E6727E" w:rsidRPr="00B953B8" w:rsidRDefault="004616E2" w:rsidP="00B953B8">
            <w:pPr>
              <w:pStyle w:val="NoSpacing"/>
              <w:rPr>
                <w:rStyle w:val="CCNoSpacing"/>
              </w:rPr>
            </w:pPr>
            <w:r>
              <w:rPr>
                <w:rStyle w:val="CCNoSpacing"/>
              </w:rPr>
              <w:t>Starszy doradca ds. polityki</w:t>
            </w:r>
          </w:p>
          <w:p w14:paraId="0876FF04" w14:textId="12A537A4" w:rsidR="00E6727E" w:rsidRPr="00B953B8" w:rsidRDefault="00647ACC" w:rsidP="00B953B8">
            <w:r>
              <w:rPr>
                <w:rStyle w:val="Hyperlink"/>
              </w:rPr>
              <w:t>Paula.deVera@copa-cogeca.eu</w:t>
            </w:r>
          </w:p>
        </w:tc>
        <w:tc>
          <w:tcPr>
            <w:tcW w:w="4763" w:type="dxa"/>
          </w:tcPr>
          <w:p w14:paraId="5821E656" w14:textId="416D4EA0" w:rsidR="00E6727E" w:rsidRPr="00B953B8" w:rsidRDefault="00647ACC" w:rsidP="00B953B8">
            <w:pPr>
              <w:pStyle w:val="NoSpacing"/>
            </w:pPr>
            <w:r>
              <w:t>Jean-Baptiste Boucher</w:t>
            </w:r>
          </w:p>
          <w:p w14:paraId="278E5FB0" w14:textId="3E8035E5" w:rsidR="00E6727E" w:rsidRPr="00B953B8" w:rsidRDefault="00647ACC" w:rsidP="00B953B8">
            <w:pPr>
              <w:pStyle w:val="NoSpacing"/>
            </w:pPr>
            <w:r>
              <w:t>Dyrektor ds. komunikacji</w:t>
            </w:r>
          </w:p>
          <w:p w14:paraId="1BF9B2BD" w14:textId="16831014" w:rsidR="00E6727E" w:rsidRPr="00647ACC" w:rsidRDefault="004616E2" w:rsidP="00B953B8">
            <w:pPr>
              <w:pStyle w:val="NoSpacing"/>
            </w:pPr>
            <w:r>
              <w:t>+ 32 474 840 836</w:t>
            </w:r>
          </w:p>
          <w:p w14:paraId="554AC14B" w14:textId="68DC067F" w:rsidR="00E6727E" w:rsidRPr="00B953B8" w:rsidRDefault="00647ACC" w:rsidP="00B953B8">
            <w:r>
              <w:rPr>
                <w:rStyle w:val="Hyperlink"/>
              </w:rPr>
              <w:t>jean-baptiste.boucher@copa-cogeca.eu</w:t>
            </w:r>
          </w:p>
        </w:tc>
      </w:tr>
      <w:bookmarkEnd w:id="0"/>
    </w:tbl>
    <w:p w14:paraId="1E5AC2B8" w14:textId="77777777" w:rsidR="00E6727E" w:rsidRPr="00235A0D" w:rsidRDefault="00E6727E" w:rsidP="00235A0D"/>
    <w:sectPr w:rsidR="00E6727E" w:rsidRPr="00235A0D" w:rsidSect="0056456D">
      <w:headerReference w:type="default" r:id="rId12"/>
      <w:footerReference w:type="default" r:id="rId13"/>
      <w:pgSz w:w="11906" w:h="16838"/>
      <w:pgMar w:top="1440" w:right="1440" w:bottom="198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403CB" w14:textId="77777777" w:rsidR="00883377" w:rsidRPr="00716D7C" w:rsidRDefault="00883377" w:rsidP="00716D7C">
      <w:r>
        <w:separator/>
      </w:r>
    </w:p>
  </w:endnote>
  <w:endnote w:type="continuationSeparator" w:id="0">
    <w:p w14:paraId="0991EB08" w14:textId="77777777" w:rsidR="00883377" w:rsidRPr="00716D7C" w:rsidRDefault="008833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6BBA7F1-FCFE-49DD-90FE-E02B741E3067}"/>
    <w:embedBold r:id="rId2" w:fontKey="{C25F47B9-10BF-42CC-AFA6-66FC0FE448C9}"/>
    <w:embedItalic r:id="rId3" w:fontKey="{CD8AE842-24C5-488B-90E6-F9FB1AA83521}"/>
  </w:font>
  <w:font w:name="Montserrat Light">
    <w:charset w:val="00"/>
    <w:family w:val="auto"/>
    <w:pitch w:val="variable"/>
    <w:sig w:usb0="2000020F" w:usb1="00000003" w:usb2="00000000" w:usb3="00000000" w:csb0="00000197" w:csb1="00000000"/>
    <w:embedRegular r:id="rId4" w:fontKey="{902D77E4-87AF-4F03-B7D7-B4285A153B9A}"/>
    <w:embedBold r:id="rId5" w:fontKey="{E74A3C2D-196A-498F-A383-BD94016E3715}"/>
    <w:embedItalic r:id="rId6" w:fontKey="{0D8EC571-D6B7-47C3-A498-B4D55CA07092}"/>
  </w:font>
  <w:font w:name="Calibri Light">
    <w:panose1 w:val="020F0302020204030204"/>
    <w:charset w:val="00"/>
    <w:family w:val="swiss"/>
    <w:pitch w:val="variable"/>
    <w:sig w:usb0="A00002EF" w:usb1="4000207B" w:usb2="00000000" w:usb3="00000000" w:csb0="0000019F" w:csb1="00000000"/>
    <w:embedRegular r:id="rId7" w:fontKey="{D4735E00-A56B-4E65-A90A-92F5606B7FA2}"/>
  </w:font>
  <w:font w:name="Montserrat">
    <w:charset w:val="00"/>
    <w:family w:val="auto"/>
    <w:pitch w:val="variable"/>
    <w:sig w:usb0="2000020F" w:usb1="00000003" w:usb2="00000000" w:usb3="00000000" w:csb0="00000197" w:csb1="00000000"/>
    <w:embedRegular r:id="rId8" w:fontKey="{39479412-BC29-48A7-AB92-C23C337E7B4D}"/>
    <w:embedBold r:id="rId9" w:fontKey="{ECB6AA33-6643-48DA-AEBD-23F44A495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6CB2" w14:textId="77777777" w:rsidR="00171312" w:rsidRPr="00716D7C" w:rsidRDefault="00B631E7" w:rsidP="00716D7C">
    <w:r>
      <w:rPr>
        <w:noProof/>
        <w:lang w:val="fr-BE" w:eastAsia="fr-BE"/>
      </w:rPr>
      <mc:AlternateContent>
        <mc:Choice Requires="wps">
          <w:drawing>
            <wp:anchor distT="45720" distB="45720" distL="114300" distR="114300" simplePos="0" relativeHeight="251660288" behindDoc="0" locked="0" layoutInCell="1" allowOverlap="1" wp14:anchorId="4AFDED72" wp14:editId="0A8B07F5">
              <wp:simplePos x="0" y="0"/>
              <wp:positionH relativeFrom="margin">
                <wp:posOffset>-584835</wp:posOffset>
              </wp:positionH>
              <wp:positionV relativeFrom="page">
                <wp:posOffset>9940925</wp:posOffset>
              </wp:positionV>
              <wp:extent cx="5953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404620"/>
                      </a:xfrm>
                      <a:prstGeom prst="rect">
                        <a:avLst/>
                      </a:prstGeom>
                      <a:noFill/>
                      <a:ln w="9525">
                        <a:noFill/>
                        <a:miter lim="800000"/>
                        <a:headEnd/>
                        <a:tailEnd/>
                      </a:ln>
                    </wps:spPr>
                    <wps:txbx>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Europejscy Rolnicy Europejskie Spółdzielnie Rolnicze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61, Rue de Trèves | B - 1040 Bruksela | www.copa-cogeca.eu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Numer rejestru służącego przejrzystości UE | Copa 44856881231-49  | Cogeca 09586631237-74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FDED72" id="_x0000_t202" coordsize="21600,21600" o:spt="202" path="m,l,21600r21600,l21600,xe">
              <v:stroke joinstyle="miter"/>
              <v:path gradientshapeok="t" o:connecttype="rect"/>
            </v:shapetype>
            <v:shape id="Text Box 2" o:spid="_x0000_s1026" type="#_x0000_t202" style="position:absolute;left:0;text-align:left;margin-left:-46.05pt;margin-top:782.75pt;width:468.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5n+wEAAM4DAAAOAAAAZHJzL2Uyb0RvYy54bWysU8tu2zAQvBfoPxC815Jd24k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" filled="f" stroked="f">
              <v:textbox style="mso-fit-shape-to-text:t">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Europejscy Rolnicy Europejskie Spółdzielnie Rolnicze</w:t>
                    </w:r>
                    <w:r>
                      <w:rPr>
                        <w:color w:val="FFFFFF" w:themeColor="background1"/>
                        <w:sz w:val="18"/>
                        <w:szCs w:val="18"/>
                      </w:rPr>
                      <w:t xml:space="preserv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61, Rue de Trèves | B - 1040 Bruksela | www.copa-cogeca.eu</w:t>
                    </w:r>
                    <w:r>
                      <w:rPr>
                        <w:color w:val="FFFFFF" w:themeColor="background1"/>
                        <w:sz w:val="18"/>
                        <w:szCs w:val="18"/>
                      </w:rPr>
                      <w:t xml:space="preserve">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Numer rejestru służącego przejrzystości UE | Copa 44856881231-49  | Cogeca 09586631237-74</w:t>
                    </w:r>
                  </w:p>
                </w:txbxContent>
              </v:textbox>
              <w10:wrap type="square" anchorx="margin" anchory="page"/>
            </v:shape>
          </w:pict>
        </mc:Fallback>
      </mc:AlternateContent>
    </w:r>
    <w:r>
      <w:rPr>
        <w:noProof/>
        <w:lang w:val="fr-BE" w:eastAsia="fr-BE"/>
      </w:rPr>
      <w:drawing>
        <wp:anchor distT="0" distB="0" distL="114300" distR="114300" simplePos="0" relativeHeight="251658240" behindDoc="1" locked="0" layoutInCell="1" allowOverlap="1" wp14:anchorId="12BCF7CE" wp14:editId="767B5D58">
          <wp:simplePos x="0" y="0"/>
          <wp:positionH relativeFrom="page">
            <wp:posOffset>28245</wp:posOffset>
          </wp:positionH>
          <wp:positionV relativeFrom="paragraph">
            <wp:posOffset>-513624</wp:posOffset>
          </wp:positionV>
          <wp:extent cx="7496834" cy="13474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96834" cy="134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4B747" w14:textId="77777777" w:rsidR="00883377" w:rsidRPr="00716D7C" w:rsidRDefault="00883377" w:rsidP="00716D7C">
      <w:r>
        <w:separator/>
      </w:r>
    </w:p>
  </w:footnote>
  <w:footnote w:type="continuationSeparator" w:id="0">
    <w:p w14:paraId="491C59DA" w14:textId="77777777" w:rsidR="00883377" w:rsidRPr="00716D7C" w:rsidRDefault="00883377" w:rsidP="00716D7C">
      <w:r>
        <w:continuationSeparator/>
      </w:r>
    </w:p>
  </w:footnote>
  <w:footnote w:id="1">
    <w:p w14:paraId="4BCE3A1A" w14:textId="77777777" w:rsidR="00647ACC" w:rsidRPr="00647ACC" w:rsidRDefault="00647ACC" w:rsidP="00647ACC">
      <w:pPr>
        <w:pStyle w:val="FootnoteText"/>
        <w:jc w:val="both"/>
        <w:rPr>
          <w:rFonts w:ascii="Montserrat Light" w:hAnsi="Montserrat Light"/>
          <w:sz w:val="14"/>
          <w:szCs w:val="14"/>
        </w:rPr>
      </w:pPr>
      <w:r>
        <w:rPr>
          <w:rStyle w:val="FootnoteReference"/>
          <w:rFonts w:ascii="Montserrat Light" w:hAnsi="Montserrat Light"/>
          <w:sz w:val="14"/>
          <w:szCs w:val="14"/>
        </w:rPr>
        <w:footnoteRef/>
      </w:r>
      <w:r>
        <w:rPr>
          <w:rFonts w:ascii="Montserrat Light" w:hAnsi="Montserrat Light"/>
          <w:sz w:val="14"/>
          <w:szCs w:val="14"/>
        </w:rPr>
        <w:t xml:space="preserve"> https://publications.jrc.ec.europa.eu/repository/handle/JRC121368 </w:t>
      </w:r>
    </w:p>
  </w:footnote>
  <w:footnote w:id="2">
    <w:p w14:paraId="4197D3FB" w14:textId="77777777" w:rsidR="00647ACC" w:rsidRPr="00647ACC" w:rsidRDefault="00647ACC" w:rsidP="00647ACC">
      <w:pPr>
        <w:pStyle w:val="FootnoteText"/>
        <w:jc w:val="both"/>
        <w:rPr>
          <w:rFonts w:ascii="Montserrat Light" w:hAnsi="Montserrat Light"/>
          <w:sz w:val="14"/>
          <w:szCs w:val="14"/>
        </w:rPr>
      </w:pPr>
      <w:r>
        <w:rPr>
          <w:rStyle w:val="FootnoteReference"/>
          <w:rFonts w:ascii="Montserrat Light" w:hAnsi="Montserrat Light"/>
          <w:sz w:val="14"/>
          <w:szCs w:val="14"/>
        </w:rPr>
        <w:footnoteRef/>
      </w:r>
      <w:r>
        <w:rPr>
          <w:rFonts w:ascii="Montserrat Light" w:hAnsi="Montserrat Light"/>
          <w:sz w:val="14"/>
          <w:szCs w:val="14"/>
        </w:rPr>
        <w:t xml:space="preserve"> https://www.fas.usda.gov/newsroom/economic-and-food-security-impacts-eu-farm-fork-strategy</w:t>
      </w:r>
    </w:p>
  </w:footnote>
  <w:footnote w:id="3">
    <w:p w14:paraId="78AC2A88" w14:textId="77777777" w:rsidR="00647ACC" w:rsidRPr="00647ACC" w:rsidRDefault="00647ACC" w:rsidP="00647ACC">
      <w:pPr>
        <w:rPr>
          <w:sz w:val="14"/>
          <w:szCs w:val="14"/>
        </w:rPr>
      </w:pPr>
      <w:r>
        <w:rPr>
          <w:rStyle w:val="FootnoteReference"/>
          <w:sz w:val="14"/>
          <w:szCs w:val="14"/>
        </w:rPr>
        <w:footnoteRef/>
      </w:r>
      <w:r>
        <w:rPr>
          <w:sz w:val="14"/>
          <w:szCs w:val="14"/>
        </w:rPr>
        <w:t xml:space="preserve"> https://grain-club.de/fileadmin/user_upload/Dokumente/Farm_to_fork_Studie_Executive_Summary_EN.pdf</w:t>
      </w:r>
    </w:p>
  </w:footnote>
  <w:footnote w:id="4">
    <w:p w14:paraId="7FE8A840" w14:textId="77777777" w:rsidR="00647ACC" w:rsidRPr="00647ACC" w:rsidRDefault="00647ACC" w:rsidP="00647ACC">
      <w:pPr>
        <w:pStyle w:val="FootnoteText"/>
        <w:jc w:val="both"/>
        <w:rPr>
          <w:rFonts w:ascii="Montserrat Light" w:hAnsi="Montserrat Light"/>
          <w:sz w:val="18"/>
          <w:szCs w:val="18"/>
        </w:rPr>
      </w:pPr>
      <w:r>
        <w:rPr>
          <w:rStyle w:val="FootnoteReference"/>
          <w:rFonts w:ascii="Montserrat Light" w:hAnsi="Montserrat Light"/>
          <w:sz w:val="14"/>
          <w:szCs w:val="14"/>
        </w:rPr>
        <w:footnoteRef/>
      </w:r>
      <w:r>
        <w:rPr>
          <w:rFonts w:ascii="Montserrat Light" w:hAnsi="Montserrat Light"/>
          <w:sz w:val="14"/>
          <w:szCs w:val="14"/>
        </w:rPr>
        <w:t xml:space="preserve"> https://hffa-research.com/wp-content/uploads/2021/05/HFFA-Research-The-socio-economic-and-environmental-values-of-plant-breeding-in-the-EU.pdf</w:t>
      </w:r>
    </w:p>
  </w:footnote>
  <w:footnote w:id="5">
    <w:p w14:paraId="1B8BA167" w14:textId="77777777" w:rsidR="00647ACC" w:rsidRPr="00647ACC" w:rsidRDefault="00647ACC" w:rsidP="00647ACC">
      <w:pPr>
        <w:pStyle w:val="FootnoteText"/>
        <w:rPr>
          <w:rFonts w:ascii="Montserrat Light" w:hAnsi="Montserrat Light"/>
          <w:sz w:val="14"/>
          <w:szCs w:val="14"/>
        </w:rPr>
      </w:pPr>
      <w:r>
        <w:rPr>
          <w:rStyle w:val="FootnoteReference"/>
          <w:rFonts w:ascii="Montserrat Light" w:hAnsi="Montserrat Light"/>
          <w:sz w:val="14"/>
          <w:szCs w:val="14"/>
        </w:rPr>
        <w:footnoteRef/>
      </w:r>
      <w:r>
        <w:t xml:space="preserve"> EEA (2018), Phillips McDougall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F7E8" w14:textId="77777777" w:rsidR="003D1D89" w:rsidRPr="00B953B8" w:rsidRDefault="003D1D89" w:rsidP="002D57AF">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EA082C2"/>
    <w:lvl w:ilvl="0">
      <w:start w:val="1"/>
      <w:numFmt w:val="decimal"/>
      <w:lvlText w:val="%1."/>
      <w:lvlJc w:val="left"/>
      <w:pPr>
        <w:tabs>
          <w:tab w:val="num" w:pos="1492"/>
        </w:tabs>
        <w:ind w:left="1492" w:hanging="360"/>
      </w:pPr>
    </w:lvl>
  </w:abstractNum>
  <w:abstractNum w:abstractNumId="1">
    <w:nsid w:val="FFFFFF7D"/>
    <w:multiLevelType w:val="singleLevel"/>
    <w:tmpl w:val="A3DE2CB8"/>
    <w:lvl w:ilvl="0">
      <w:start w:val="1"/>
      <w:numFmt w:val="decimal"/>
      <w:lvlText w:val="%1."/>
      <w:lvlJc w:val="left"/>
      <w:pPr>
        <w:tabs>
          <w:tab w:val="num" w:pos="1209"/>
        </w:tabs>
        <w:ind w:left="1209" w:hanging="360"/>
      </w:pPr>
    </w:lvl>
  </w:abstractNum>
  <w:abstractNum w:abstractNumId="2">
    <w:nsid w:val="FFFFFF7E"/>
    <w:multiLevelType w:val="singleLevel"/>
    <w:tmpl w:val="C13EDB40"/>
    <w:lvl w:ilvl="0">
      <w:start w:val="1"/>
      <w:numFmt w:val="decimal"/>
      <w:lvlText w:val="%1."/>
      <w:lvlJc w:val="left"/>
      <w:pPr>
        <w:tabs>
          <w:tab w:val="num" w:pos="926"/>
        </w:tabs>
        <w:ind w:left="926" w:hanging="360"/>
      </w:pPr>
    </w:lvl>
  </w:abstractNum>
  <w:abstractNum w:abstractNumId="3">
    <w:nsid w:val="FFFFFF7F"/>
    <w:multiLevelType w:val="singleLevel"/>
    <w:tmpl w:val="51768A50"/>
    <w:lvl w:ilvl="0">
      <w:start w:val="1"/>
      <w:numFmt w:val="decimal"/>
      <w:lvlText w:val="%1."/>
      <w:lvlJc w:val="left"/>
      <w:pPr>
        <w:tabs>
          <w:tab w:val="num" w:pos="643"/>
        </w:tabs>
        <w:ind w:left="643" w:hanging="360"/>
      </w:pPr>
    </w:lvl>
  </w:abstractNum>
  <w:abstractNum w:abstractNumId="4">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0AB294"/>
    <w:lvl w:ilvl="0">
      <w:start w:val="1"/>
      <w:numFmt w:val="decimal"/>
      <w:lvlText w:val="%1."/>
      <w:lvlJc w:val="left"/>
      <w:pPr>
        <w:tabs>
          <w:tab w:val="num" w:pos="360"/>
        </w:tabs>
        <w:ind w:left="360" w:hanging="360"/>
      </w:pPr>
    </w:lvl>
  </w:abstractNum>
  <w:abstractNum w:abstractNumId="9">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E2"/>
    <w:rsid w:val="00006AB9"/>
    <w:rsid w:val="00071DB6"/>
    <w:rsid w:val="000B1D84"/>
    <w:rsid w:val="000D2B3B"/>
    <w:rsid w:val="000D34BA"/>
    <w:rsid w:val="00100850"/>
    <w:rsid w:val="00117877"/>
    <w:rsid w:val="0013357E"/>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32710"/>
    <w:rsid w:val="00341D97"/>
    <w:rsid w:val="003503C8"/>
    <w:rsid w:val="003557C1"/>
    <w:rsid w:val="003747AC"/>
    <w:rsid w:val="00380165"/>
    <w:rsid w:val="0039774E"/>
    <w:rsid w:val="003B1D9A"/>
    <w:rsid w:val="003B68CB"/>
    <w:rsid w:val="003C0EEB"/>
    <w:rsid w:val="003C4C18"/>
    <w:rsid w:val="003D1D89"/>
    <w:rsid w:val="003F44AB"/>
    <w:rsid w:val="00445C22"/>
    <w:rsid w:val="00461631"/>
    <w:rsid w:val="004616E2"/>
    <w:rsid w:val="00467BDE"/>
    <w:rsid w:val="00486A5D"/>
    <w:rsid w:val="004A13F0"/>
    <w:rsid w:val="004C39C3"/>
    <w:rsid w:val="004D1FA4"/>
    <w:rsid w:val="004F6EE0"/>
    <w:rsid w:val="005202ED"/>
    <w:rsid w:val="0056456D"/>
    <w:rsid w:val="00590988"/>
    <w:rsid w:val="00592F70"/>
    <w:rsid w:val="005E5961"/>
    <w:rsid w:val="005E5BFB"/>
    <w:rsid w:val="00600ED3"/>
    <w:rsid w:val="00607BB2"/>
    <w:rsid w:val="00641635"/>
    <w:rsid w:val="00647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3E4D"/>
    <w:rsid w:val="00800A86"/>
    <w:rsid w:val="00850375"/>
    <w:rsid w:val="00851336"/>
    <w:rsid w:val="00860527"/>
    <w:rsid w:val="00864920"/>
    <w:rsid w:val="00867FA8"/>
    <w:rsid w:val="00883377"/>
    <w:rsid w:val="008A0BFA"/>
    <w:rsid w:val="008C0429"/>
    <w:rsid w:val="008C0994"/>
    <w:rsid w:val="008C3BEC"/>
    <w:rsid w:val="008D5A0D"/>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33CB"/>
    <w:rsid w:val="00C20330"/>
    <w:rsid w:val="00C26FE0"/>
    <w:rsid w:val="00C435EA"/>
    <w:rsid w:val="00C5271A"/>
    <w:rsid w:val="00C544BA"/>
    <w:rsid w:val="00CA4F69"/>
    <w:rsid w:val="00CC4394"/>
    <w:rsid w:val="00CE19D7"/>
    <w:rsid w:val="00CF4B85"/>
    <w:rsid w:val="00D1533B"/>
    <w:rsid w:val="00D239FF"/>
    <w:rsid w:val="00D66617"/>
    <w:rsid w:val="00D72C78"/>
    <w:rsid w:val="00DF6217"/>
    <w:rsid w:val="00E05511"/>
    <w:rsid w:val="00E2211C"/>
    <w:rsid w:val="00E510B1"/>
    <w:rsid w:val="00E6542D"/>
    <w:rsid w:val="00E6727E"/>
    <w:rsid w:val="00E72924"/>
    <w:rsid w:val="00E9016C"/>
    <w:rsid w:val="00E92FBE"/>
    <w:rsid w:val="00E95D41"/>
    <w:rsid w:val="00EA132D"/>
    <w:rsid w:val="00F145A0"/>
    <w:rsid w:val="00F25A49"/>
    <w:rsid w:val="00F4320D"/>
    <w:rsid w:val="00F52C33"/>
    <w:rsid w:val="00F53D64"/>
    <w:rsid w:val="00F63519"/>
    <w:rsid w:val="00FB0E87"/>
    <w:rsid w:val="00FE48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99E1"/>
  <w15:chartTrackingRefBased/>
  <w15:docId w15:val="{4FD77F27-3F4E-4938-8A83-AF20C61C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paragraph" w:styleId="FootnoteText">
    <w:name w:val="footnote text"/>
    <w:basedOn w:val="Normal"/>
    <w:link w:val="FootnoteTextChar"/>
    <w:uiPriority w:val="99"/>
    <w:semiHidden/>
    <w:unhideWhenUsed/>
    <w:locked/>
    <w:rsid w:val="00647ACC"/>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47ACC"/>
    <w:rPr>
      <w:sz w:val="20"/>
      <w:szCs w:val="20"/>
    </w:rPr>
  </w:style>
  <w:style w:type="character" w:styleId="FootnoteReference">
    <w:name w:val="footnote reference"/>
    <w:basedOn w:val="DefaultParagraphFont"/>
    <w:uiPriority w:val="99"/>
    <w:semiHidden/>
    <w:unhideWhenUsed/>
    <w:locked/>
    <w:rsid w:val="00647A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7F21ED28354AA8B31EE2810B1AA437"/>
        <w:category>
          <w:name w:val="General"/>
          <w:gallery w:val="placeholder"/>
        </w:category>
        <w:types>
          <w:type w:val="bbPlcHdr"/>
        </w:types>
        <w:behaviors>
          <w:behavior w:val="content"/>
        </w:behaviors>
        <w:guid w:val="{374EEA1A-7C3E-421C-A67C-765825D71C58}"/>
      </w:docPartPr>
      <w:docPartBody>
        <w:p w:rsidR="004E63F2" w:rsidRDefault="00677B82">
          <w:pPr>
            <w:pStyle w:val="147F21ED28354AA8B31EE2810B1AA43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3F2"/>
    <w:rsid w:val="00395C87"/>
    <w:rsid w:val="004E63F2"/>
    <w:rsid w:val="00677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7F21ED28354AA8B31EE2810B1AA437">
    <w:name w:val="147F21ED28354AA8B31EE2810B1AA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A8BAF-0FA5-484E-8F76-1C8BE770823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0" ma:contentTypeDescription="Create a new document." ma:contentTypeScope="" ma:versionID="5a138d4d949965b4fabd134cbae0d5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6ABB-D913-433E-993E-CE16E9EB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7F1E7-44CE-43A9-BAA8-65E9538129D0}">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FD0C8B3F-3ED3-4E89-B50E-3A6DB247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707</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Gabriela Danelczyk</cp:lastModifiedBy>
  <cp:revision>2</cp:revision>
  <cp:lastPrinted>2022-12-19T09:39:00Z</cp:lastPrinted>
  <dcterms:created xsi:type="dcterms:W3CDTF">2022-12-22T11:52:00Z</dcterms:created>
  <dcterms:modified xsi:type="dcterms:W3CDTF">2022-12-22T11:52:00Z</dcterms:modified>
</cp:coreProperties>
</file>

<file path=docProps/custom.xml><?xml version="1.0" encoding="utf-8"?>
<op:Properties xmlns:vt="http://schemas.openxmlformats.org/officeDocument/2006/docPropsVTypes" xmlns:op="http://schemas.openxmlformats.org/officeDocument/2006/custom-properties"/>
</file>