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F21F0" w14:textId="77777777" w:rsidR="00D72C78" w:rsidRDefault="00D72C78" w:rsidP="00990273">
      <w:pPr>
        <w:jc w:val="right"/>
      </w:pPr>
      <w:bookmarkStart w:id="0" w:name="_Hlk152668140"/>
    </w:p>
    <w:p w14:paraId="6733158D" w14:textId="1A8F4C76" w:rsidR="006848AB" w:rsidRDefault="00767438" w:rsidP="00441BFC">
      <w:pPr>
        <w:spacing w:after="0"/>
        <w:rPr>
          <w:rFonts w:ascii="Montserrat" w:hAnsi="Montserrat"/>
        </w:rPr>
      </w:pPr>
      <w:r>
        <w:rPr>
          <w:rStyle w:val="CCNormal"/>
        </w:rPr>
        <w:t>Ref.</w:t>
      </w:r>
      <w:r>
        <w:t xml:space="preserve"> </w:t>
      </w:r>
      <w:r>
        <w:rPr>
          <w:rFonts w:ascii="Montserrat" w:hAnsi="Montserrat"/>
        </w:rPr>
        <w:t>COMM(23)05506</w:t>
      </w:r>
      <w:r>
        <w:rPr>
          <w:rFonts w:ascii="Montserrat" w:hAnsi="Montserrat"/>
        </w:rPr>
        <w:tab/>
      </w:r>
      <w:r>
        <w:rPr>
          <w:rFonts w:ascii="Montserrat" w:hAnsi="Montserrat"/>
        </w:rPr>
        <w:tab/>
      </w:r>
    </w:p>
    <w:p w14:paraId="6D5F3FCA" w14:textId="77777777" w:rsidR="006848AB" w:rsidRDefault="006848AB" w:rsidP="00441BFC">
      <w:pPr>
        <w:spacing w:after="0"/>
        <w:rPr>
          <w:rFonts w:ascii="Montserrat" w:hAnsi="Montserrat"/>
        </w:rPr>
      </w:pPr>
    </w:p>
    <w:p w14:paraId="09A2C48F" w14:textId="3E3609B9" w:rsidR="000356F5" w:rsidRDefault="006848AB" w:rsidP="00441BFC">
      <w:pPr>
        <w:spacing w:after="0"/>
        <w:rPr>
          <w:rFonts w:ascii="Montserrat" w:hAnsi="Montserrat"/>
        </w:rPr>
      </w:pPr>
      <w:r>
        <w:rPr>
          <w:rStyle w:val="CCNormal"/>
        </w:rPr>
        <w:t>El 5 de diciembre de 2023</w:t>
      </w:r>
    </w:p>
    <w:p w14:paraId="14993FF4" w14:textId="77777777" w:rsidR="006848AB" w:rsidRPr="0074215F" w:rsidRDefault="006848AB" w:rsidP="00B22284">
      <w:pPr>
        <w:rPr>
          <w:rStyle w:val="CCType"/>
        </w:rPr>
      </w:pPr>
    </w:p>
    <w:p w14:paraId="0B827810" w14:textId="6E2F2BB4" w:rsidR="00E56AA6" w:rsidRPr="00686D11" w:rsidRDefault="00BF325F" w:rsidP="0008105D">
      <w:pPr>
        <w:rPr>
          <w:rStyle w:val="CCType"/>
        </w:rPr>
      </w:pPr>
      <w:r>
        <w:rPr>
          <w:rStyle w:val="CCType"/>
        </w:rPr>
        <w:t>Artículo de opinión</w:t>
      </w:r>
    </w:p>
    <w:p w14:paraId="11C53062" w14:textId="28777135" w:rsidR="00E56AA6" w:rsidRPr="00BF325F" w:rsidRDefault="00BF325F" w:rsidP="0008105D">
      <w:pPr>
        <w:rPr>
          <w:rStyle w:val="CCTitle"/>
          <w:sz w:val="32"/>
        </w:rPr>
      </w:pPr>
      <w:r>
        <w:rPr>
          <w:rStyle w:val="CCTitle"/>
          <w:sz w:val="32"/>
        </w:rPr>
        <w:t xml:space="preserve">¿Crear una «DG Alimentación» </w:t>
      </w:r>
      <w:r w:rsidR="00C96D1A">
        <w:rPr>
          <w:rStyle w:val="CCTitle"/>
          <w:sz w:val="32"/>
        </w:rPr>
        <w:t xml:space="preserve">en </w:t>
      </w:r>
      <w:r>
        <w:rPr>
          <w:rStyle w:val="CCTitle"/>
          <w:sz w:val="32"/>
        </w:rPr>
        <w:t>la Comisión? Una respuesta equivocada ante un verdadero problema político</w:t>
      </w:r>
    </w:p>
    <w:p w14:paraId="0C14FFC5" w14:textId="749DC7D5" w:rsidR="003922AB" w:rsidRPr="00BF325F" w:rsidRDefault="006848AB" w:rsidP="0008105D">
      <w:pPr>
        <w:rPr>
          <w:rStyle w:val="CCNormal"/>
          <w:sz w:val="20"/>
          <w:szCs w:val="20"/>
        </w:rPr>
      </w:pPr>
      <w:r>
        <w:rPr>
          <w:rStyle w:val="CCNormal"/>
          <w:sz w:val="20"/>
          <w:szCs w:val="20"/>
        </w:rPr>
        <w:t>Antes incluso del pistoletazo de salida para la campaña electoral europea, Bruselas ya está sumida en un torbellino de rumores e ideas de cara al próximo mandato. Durante la primera revisión, algunos eran partidarios de crear una DG Alimentación que sustituyera a la Dirección General de Agricultura y que asumiera al mismo tiempo otras competencias de la Comisión</w:t>
      </w:r>
      <w:r w:rsidR="00B90BB2" w:rsidRPr="00C96D1A">
        <w:rPr>
          <w:rStyle w:val="CCNormal"/>
          <w:sz w:val="20"/>
          <w:vertAlign w:val="superscript"/>
        </w:rPr>
        <w:footnoteReference w:id="1"/>
      </w:r>
      <w:r w:rsidR="00C96D1A">
        <w:rPr>
          <w:rStyle w:val="CCNormal"/>
          <w:sz w:val="20"/>
          <w:szCs w:val="20"/>
        </w:rPr>
        <w:t>.</w:t>
      </w:r>
      <w:r>
        <w:rPr>
          <w:rStyle w:val="CCNormal"/>
          <w:sz w:val="20"/>
          <w:szCs w:val="20"/>
        </w:rPr>
        <w:t xml:space="preserve"> Esos partidarios </w:t>
      </w:r>
      <w:r w:rsidR="00C96D1A">
        <w:rPr>
          <w:rStyle w:val="CCNormal"/>
          <w:sz w:val="20"/>
          <w:szCs w:val="20"/>
        </w:rPr>
        <w:t xml:space="preserve">eran </w:t>
      </w:r>
      <w:r>
        <w:rPr>
          <w:rStyle w:val="CCNormal"/>
          <w:sz w:val="20"/>
          <w:szCs w:val="20"/>
        </w:rPr>
        <w:t xml:space="preserve">los mismos que alegaban que la estrategia «De la granja a la mesa» no logró suficiente apoyo debido a que las competencias dentro de la UE estaban demasiado fragmentadas, mientras que la principal estrategia agrícola de la Comisión presentaba una visión global sobre cómo llevar a término todas las transiciones. Desde esta óptica, la creación de una DG Alimentación se </w:t>
      </w:r>
      <w:r w:rsidR="00C96D1A">
        <w:rPr>
          <w:rStyle w:val="CCNormal"/>
          <w:sz w:val="20"/>
          <w:szCs w:val="20"/>
        </w:rPr>
        <w:t xml:space="preserve">presentaría </w:t>
      </w:r>
      <w:r>
        <w:rPr>
          <w:rStyle w:val="CCNormal"/>
          <w:sz w:val="20"/>
          <w:szCs w:val="20"/>
        </w:rPr>
        <w:t xml:space="preserve">como </w:t>
      </w:r>
      <w:r w:rsidR="00C96D1A">
        <w:rPr>
          <w:rStyle w:val="CCNormal"/>
          <w:sz w:val="20"/>
          <w:szCs w:val="20"/>
        </w:rPr>
        <w:t xml:space="preserve">la </w:t>
      </w:r>
      <w:r>
        <w:rPr>
          <w:rStyle w:val="CCNormal"/>
          <w:sz w:val="20"/>
          <w:szCs w:val="20"/>
        </w:rPr>
        <w:t>solución ideal para las instituciones</w:t>
      </w:r>
      <w:r w:rsidR="00C96D1A">
        <w:rPr>
          <w:rStyle w:val="CCNormal"/>
          <w:sz w:val="20"/>
          <w:szCs w:val="20"/>
        </w:rPr>
        <w:t xml:space="preserve"> por antonomasia</w:t>
      </w:r>
      <w:r>
        <w:rPr>
          <w:rStyle w:val="CCNormal"/>
          <w:sz w:val="20"/>
          <w:szCs w:val="20"/>
        </w:rPr>
        <w:t>, dado que la existencia de un gabinete de dirección específico facilitaría la toma de decisiones y permitiría ahondar en la estrategia «De la granja a la mesa» durante el próximo mandato.</w:t>
      </w:r>
    </w:p>
    <w:p w14:paraId="5C629A09" w14:textId="01660561" w:rsidR="00BF325F" w:rsidRDefault="003922AB" w:rsidP="0008105D">
      <w:pPr>
        <w:rPr>
          <w:rStyle w:val="CCNormal"/>
          <w:sz w:val="20"/>
          <w:szCs w:val="20"/>
        </w:rPr>
      </w:pPr>
      <w:r>
        <w:rPr>
          <w:rStyle w:val="CCNormal"/>
          <w:sz w:val="20"/>
          <w:szCs w:val="20"/>
        </w:rPr>
        <w:t xml:space="preserve">¿Se trata de una mera </w:t>
      </w:r>
      <w:r w:rsidR="001F786C">
        <w:rPr>
          <w:rStyle w:val="CCNormal"/>
          <w:sz w:val="20"/>
          <w:szCs w:val="20"/>
        </w:rPr>
        <w:t>preferencia</w:t>
      </w:r>
      <w:r w:rsidR="001F786C">
        <w:rPr>
          <w:rStyle w:val="CCNormal"/>
          <w:sz w:val="20"/>
          <w:szCs w:val="20"/>
        </w:rPr>
        <w:t xml:space="preserve"> </w:t>
      </w:r>
      <w:r>
        <w:rPr>
          <w:rStyle w:val="CCNormal"/>
          <w:sz w:val="20"/>
          <w:szCs w:val="20"/>
        </w:rPr>
        <w:t xml:space="preserve">de términos o de una reforma política fundamental? No nos engañemos: la creación de una DG Alimentación sería una respuesta </w:t>
      </w:r>
      <w:r w:rsidR="00C96D1A">
        <w:rPr>
          <w:rStyle w:val="CCNormal"/>
          <w:sz w:val="20"/>
          <w:szCs w:val="20"/>
        </w:rPr>
        <w:t xml:space="preserve">anodina </w:t>
      </w:r>
      <w:r>
        <w:rPr>
          <w:rStyle w:val="CCNormal"/>
          <w:sz w:val="20"/>
          <w:szCs w:val="20"/>
        </w:rPr>
        <w:t>y simplista a un problema político real y complejo, como es el futuro de la agricultura dentro del Proyecto Europeo. Son varias las razones de peso para oponerse a esta propuesta, mucho más trascendental</w:t>
      </w:r>
      <w:r w:rsidR="00C96D1A">
        <w:rPr>
          <w:rStyle w:val="CCNormal"/>
          <w:sz w:val="20"/>
          <w:szCs w:val="20"/>
        </w:rPr>
        <w:t>es</w:t>
      </w:r>
      <w:r>
        <w:rPr>
          <w:rStyle w:val="CCNormal"/>
          <w:sz w:val="20"/>
          <w:szCs w:val="20"/>
        </w:rPr>
        <w:t xml:space="preserve"> que un mero debate terminológico o una reorganización administrativa corriente.</w:t>
      </w:r>
    </w:p>
    <w:p w14:paraId="73B9E082" w14:textId="51B42E9E" w:rsidR="00BF325F" w:rsidRDefault="00BF325F" w:rsidP="0008105D">
      <w:pPr>
        <w:rPr>
          <w:rStyle w:val="CCNormal"/>
          <w:sz w:val="20"/>
          <w:szCs w:val="20"/>
        </w:rPr>
      </w:pPr>
      <w:r>
        <w:rPr>
          <w:rStyle w:val="CCNormal"/>
          <w:sz w:val="20"/>
          <w:szCs w:val="20"/>
        </w:rPr>
        <w:t xml:space="preserve">¿Quiénes </w:t>
      </w:r>
      <w:r w:rsidR="00C96D1A">
        <w:rPr>
          <w:rStyle w:val="CCNormal"/>
          <w:sz w:val="20"/>
          <w:szCs w:val="20"/>
        </w:rPr>
        <w:t>abogan</w:t>
      </w:r>
      <w:r>
        <w:rPr>
          <w:rStyle w:val="CCNormal"/>
          <w:sz w:val="20"/>
          <w:szCs w:val="20"/>
        </w:rPr>
        <w:t xml:space="preserve"> por la creación de una Dirección General de Alimentación? Algunos artículos recientes señalan dos grupos diferenciados: por un lado, ciertas ONG con sede en Bruselas, que comprenden tanto asociaciones de consumidores como grupos ecologistas y, por otro lado, las multinacionales alimentarias, representadas por l</w:t>
      </w:r>
      <w:r w:rsidR="0074215F">
        <w:rPr>
          <w:rStyle w:val="CCNormal"/>
          <w:sz w:val="20"/>
          <w:szCs w:val="20"/>
        </w:rPr>
        <w:t xml:space="preserve">a organización </w:t>
      </w:r>
      <w:proofErr w:type="spellStart"/>
      <w:r w:rsidR="0074215F">
        <w:rPr>
          <w:rStyle w:val="CCNormal"/>
          <w:sz w:val="20"/>
          <w:szCs w:val="20"/>
        </w:rPr>
        <w:t>FoodDrinkEurope</w:t>
      </w:r>
      <w:proofErr w:type="spellEnd"/>
      <w:r w:rsidR="00314908">
        <w:rPr>
          <w:rStyle w:val="CCNormal"/>
          <w:sz w:val="20"/>
          <w:szCs w:val="20"/>
        </w:rPr>
        <w:t>.</w:t>
      </w:r>
      <w:r w:rsidR="0074215F">
        <w:rPr>
          <w:rStyle w:val="CCNormal"/>
          <w:sz w:val="20"/>
          <w:szCs w:val="20"/>
        </w:rPr>
        <w:t xml:space="preserve"> </w:t>
      </w:r>
      <w:r>
        <w:rPr>
          <w:rStyle w:val="CCNormal"/>
          <w:sz w:val="20"/>
          <w:szCs w:val="20"/>
        </w:rPr>
        <w:t xml:space="preserve">Una coalición cuando menos extraña. No obstante, aunque sus argumentarios difieren, comparten el deseo de imponer un enfoque descendente en las reformas agrícolas. Sin embargo, esta es precisamente la misma ideología que condujo al </w:t>
      </w:r>
      <w:r>
        <w:rPr>
          <w:rStyle w:val="CCNormal"/>
          <w:sz w:val="20"/>
          <w:szCs w:val="20"/>
        </w:rPr>
        <w:lastRenderedPageBreak/>
        <w:t>fracaso de la iniciativa «De la granja a la mesa», en la que se fijaron unos objetivos demasiado originales y completamente alejados de la realidad sobre el terreno.</w:t>
      </w:r>
    </w:p>
    <w:p w14:paraId="7E6CF96C" w14:textId="2C370F07" w:rsidR="00BF325F" w:rsidRDefault="00BF325F" w:rsidP="0008105D">
      <w:pPr>
        <w:rPr>
          <w:rStyle w:val="CCNormal"/>
          <w:sz w:val="20"/>
          <w:szCs w:val="20"/>
        </w:rPr>
      </w:pPr>
      <w:r>
        <w:rPr>
          <w:rStyle w:val="CCNormal"/>
          <w:sz w:val="20"/>
          <w:szCs w:val="20"/>
        </w:rPr>
        <w:t xml:space="preserve">No cabe duda de quiénes </w:t>
      </w:r>
      <w:r w:rsidR="001F786C">
        <w:rPr>
          <w:rStyle w:val="CCNormal"/>
          <w:sz w:val="20"/>
          <w:szCs w:val="20"/>
        </w:rPr>
        <w:t>están detrás de la propuesta</w:t>
      </w:r>
      <w:r>
        <w:rPr>
          <w:rStyle w:val="CCNormal"/>
          <w:sz w:val="20"/>
          <w:szCs w:val="20"/>
        </w:rPr>
        <w:t xml:space="preserve"> de una DG Alimentación, ya que, como </w:t>
      </w:r>
      <w:r w:rsidR="001F786C">
        <w:rPr>
          <w:rStyle w:val="CCNormal"/>
          <w:sz w:val="20"/>
          <w:szCs w:val="20"/>
        </w:rPr>
        <w:t>de</w:t>
      </w:r>
      <w:r>
        <w:rPr>
          <w:rStyle w:val="CCNormal"/>
          <w:sz w:val="20"/>
          <w:szCs w:val="20"/>
        </w:rPr>
        <w:t xml:space="preserve"> costumbre, han </w:t>
      </w:r>
      <w:r w:rsidR="001F786C">
        <w:rPr>
          <w:rStyle w:val="CCNormal"/>
          <w:sz w:val="20"/>
          <w:szCs w:val="20"/>
        </w:rPr>
        <w:t>obviado</w:t>
      </w:r>
      <w:r w:rsidR="001F786C">
        <w:rPr>
          <w:rStyle w:val="CCNormal"/>
          <w:sz w:val="20"/>
          <w:szCs w:val="20"/>
        </w:rPr>
        <w:t xml:space="preserve"> </w:t>
      </w:r>
      <w:r>
        <w:rPr>
          <w:rStyle w:val="CCNormal"/>
          <w:sz w:val="20"/>
          <w:szCs w:val="20"/>
        </w:rPr>
        <w:t>que la política agrícola no gira solo en torno a los alimentos. Como prueban las conclusiones del Consejo sobre la visión a largo plazo para las zonas rurales</w:t>
      </w:r>
      <w:r w:rsidR="00DB66ED" w:rsidRPr="00314908">
        <w:rPr>
          <w:rStyle w:val="CCNormal"/>
          <w:sz w:val="20"/>
          <w:vertAlign w:val="superscript"/>
        </w:rPr>
        <w:footnoteReference w:id="2"/>
      </w:r>
      <w:r>
        <w:rPr>
          <w:rStyle w:val="CCNormal"/>
          <w:sz w:val="20"/>
          <w:szCs w:val="20"/>
        </w:rPr>
        <w:t>, los agricultores y las cooperativas agrarias no solo son la espina dorsal de la vida rural, sino que también son una fuente de energía verde, biomateriales, piensos y coproductos como</w:t>
      </w:r>
      <w:r w:rsidR="00314908">
        <w:rPr>
          <w:rStyle w:val="CCNormal"/>
          <w:sz w:val="20"/>
          <w:szCs w:val="20"/>
        </w:rPr>
        <w:t xml:space="preserve"> los</w:t>
      </w:r>
      <w:r>
        <w:rPr>
          <w:rStyle w:val="CCNormal"/>
          <w:sz w:val="20"/>
          <w:szCs w:val="20"/>
        </w:rPr>
        <w:t xml:space="preserve"> fertilizantes; es decir, contribuyen a la conservación de miles de empleos en las zonas rurales. </w:t>
      </w:r>
      <w:r w:rsidR="001F786C">
        <w:rPr>
          <w:rStyle w:val="CCNormal"/>
          <w:sz w:val="20"/>
          <w:szCs w:val="20"/>
        </w:rPr>
        <w:t xml:space="preserve">Sin </w:t>
      </w:r>
      <w:r>
        <w:rPr>
          <w:rStyle w:val="CCNormal"/>
          <w:sz w:val="20"/>
          <w:szCs w:val="20"/>
        </w:rPr>
        <w:t xml:space="preserve">mencionar las contribuciones de otros sectores clave como la silvicultura, estrechamente vinculada a la agricultura. Algunos de los objetivos definidos para el sector agrario son también estratégicos para la UE: no olvidemos que, tras la invasión rusa de Ucrania, se aprobó el plan </w:t>
      </w:r>
      <w:proofErr w:type="spellStart"/>
      <w:r>
        <w:rPr>
          <w:rStyle w:val="CCNormal"/>
          <w:sz w:val="20"/>
          <w:szCs w:val="20"/>
        </w:rPr>
        <w:t>REPowerEU</w:t>
      </w:r>
      <w:proofErr w:type="spellEnd"/>
      <w:r w:rsidR="006C3980" w:rsidRPr="00314908">
        <w:rPr>
          <w:rStyle w:val="CCNormal"/>
          <w:sz w:val="20"/>
          <w:vertAlign w:val="superscript"/>
        </w:rPr>
        <w:footnoteReference w:id="3"/>
      </w:r>
      <w:r>
        <w:rPr>
          <w:rStyle w:val="CCNormal"/>
          <w:sz w:val="20"/>
        </w:rPr>
        <w:t>, por el que se exige un aumento drástico de la producción de biogás de aquí a 2030</w:t>
      </w:r>
      <w:r>
        <w:rPr>
          <w:rStyle w:val="CCNormal"/>
          <w:sz w:val="20"/>
          <w:szCs w:val="20"/>
        </w:rPr>
        <w:t xml:space="preserve">. </w:t>
      </w:r>
      <w:r w:rsidR="00314908">
        <w:rPr>
          <w:rStyle w:val="CCNormal"/>
          <w:sz w:val="20"/>
          <w:szCs w:val="20"/>
        </w:rPr>
        <w:t>Asimismo, cabe</w:t>
      </w:r>
      <w:r>
        <w:rPr>
          <w:rStyle w:val="CCNormal"/>
          <w:sz w:val="20"/>
          <w:szCs w:val="20"/>
        </w:rPr>
        <w:t xml:space="preserve"> destacar que el biogás procede principalmente de la agricultura.</w:t>
      </w:r>
    </w:p>
    <w:p w14:paraId="60F757D4" w14:textId="0259CE0D" w:rsidR="00BF325F" w:rsidRDefault="00BF325F" w:rsidP="0008105D">
      <w:pPr>
        <w:rPr>
          <w:rStyle w:val="CCNormal"/>
          <w:sz w:val="20"/>
          <w:szCs w:val="20"/>
        </w:rPr>
      </w:pPr>
      <w:r>
        <w:rPr>
          <w:rStyle w:val="CCNormal"/>
          <w:sz w:val="20"/>
          <w:szCs w:val="20"/>
        </w:rPr>
        <w:t xml:space="preserve">Por tanto, desde el punto de vista agrícola, crear una DG Alimentación conllevaría una reducción de nuestra apertura de miras, en lugar de una ampliación. </w:t>
      </w:r>
      <w:r w:rsidR="001F786C">
        <w:rPr>
          <w:rStyle w:val="CCNormal"/>
          <w:sz w:val="20"/>
          <w:szCs w:val="20"/>
        </w:rPr>
        <w:t>Una</w:t>
      </w:r>
      <w:r>
        <w:rPr>
          <w:rStyle w:val="CCNormal"/>
          <w:sz w:val="20"/>
          <w:szCs w:val="20"/>
        </w:rPr>
        <w:t xml:space="preserve"> ampliación que, además, resultaría conveniente para los eslabones río arriba de la cadena agroalimentaria. La estrategia «De la granja a la mesa» apenas ha incidido en estas fases de la cadena. No obstante y a pesar de ello, han sabido aprovechar las transiciones emprendidas por los agricultores. Por experiencias pasadas sabemos que siempre que se ha dado una oportunidad al experimento de la DG Alimentación, la voz de los agricultores ha quedado relegada a un segundo plano, en favor de la clase dirigente. Y en vista la política comercial de la Unión Europea, estos principios serán los que lleven la voz cantante: «o aceptan las medidas de transición que les pedimos (para nada se las estamos imponiendo) o importaremos sus productos». Sí, así lograremos reducir </w:t>
      </w:r>
      <w:r w:rsidR="00506669">
        <w:rPr>
          <w:rStyle w:val="CCNormal"/>
          <w:sz w:val="20"/>
          <w:szCs w:val="20"/>
        </w:rPr>
        <w:t>la huella</w:t>
      </w:r>
      <w:r>
        <w:rPr>
          <w:rStyle w:val="CCNormal"/>
          <w:sz w:val="20"/>
          <w:szCs w:val="20"/>
        </w:rPr>
        <w:t xml:space="preserve"> medioambiental de la agricultura en Europa. Bruselas podrá </w:t>
      </w:r>
      <w:r w:rsidR="001F786C">
        <w:rPr>
          <w:rStyle w:val="CCNormal"/>
          <w:sz w:val="20"/>
          <w:szCs w:val="20"/>
        </w:rPr>
        <w:t>vanagloriarse</w:t>
      </w:r>
      <w:r w:rsidR="001F786C">
        <w:rPr>
          <w:rStyle w:val="CCNormal"/>
          <w:sz w:val="20"/>
          <w:szCs w:val="20"/>
        </w:rPr>
        <w:t xml:space="preserve"> </w:t>
      </w:r>
      <w:r>
        <w:rPr>
          <w:rStyle w:val="CCNormal"/>
          <w:sz w:val="20"/>
          <w:szCs w:val="20"/>
        </w:rPr>
        <w:t>de ello, pero ¿a qué precio? Al de un aumento de las importaciones.</w:t>
      </w:r>
    </w:p>
    <w:p w14:paraId="61BE0F80" w14:textId="6A878652" w:rsidR="00BF325F" w:rsidRDefault="00506669" w:rsidP="00BF325F">
      <w:pPr>
        <w:rPr>
          <w:rStyle w:val="CCNormal"/>
          <w:sz w:val="20"/>
          <w:szCs w:val="20"/>
        </w:rPr>
      </w:pPr>
      <w:r>
        <w:rPr>
          <w:rStyle w:val="CCNormal"/>
          <w:sz w:val="20"/>
          <w:szCs w:val="20"/>
        </w:rPr>
        <w:t xml:space="preserve">Por último, </w:t>
      </w:r>
      <w:r w:rsidR="00BF325F">
        <w:rPr>
          <w:rStyle w:val="CCNormal"/>
          <w:sz w:val="20"/>
          <w:szCs w:val="20"/>
        </w:rPr>
        <w:t>tratemos de plantearnos las preguntas adecuadas: si se crea</w:t>
      </w:r>
      <w:r w:rsidR="001F786C">
        <w:rPr>
          <w:rStyle w:val="CCNormal"/>
          <w:sz w:val="20"/>
          <w:szCs w:val="20"/>
        </w:rPr>
        <w:t>se</w:t>
      </w:r>
      <w:r w:rsidR="00BF325F">
        <w:rPr>
          <w:rStyle w:val="CCNormal"/>
          <w:sz w:val="20"/>
          <w:szCs w:val="20"/>
        </w:rPr>
        <w:t xml:space="preserve"> una Dirección General de Alimentación, ¿se resolverían las principales deficiencias en la estrategia «De la granja a la mesa»? No. ¿Se realizaría un estudio de impacto global de las políticas aplicadas en el ámbito agrícola como parte del Pacto Verde Europeo? Probablemente no. Si la DG Alimentación estuviera al mando, ¿destinaría fondos a estas iniciativas? En absoluto. ¿Las propuestas de la DG Alimentación se adecuarían más a la realidad sobre el terreno? Parece aún menos probable. ¿La DG Alimentación sería capaz de resolver la falta de armonización entre la política comercial de la UE y las exigencias de la estrategia «De la granja a la mesa»? La respuesta vuelve a ser </w:t>
      </w:r>
      <w:r>
        <w:rPr>
          <w:rStyle w:val="CCNormal"/>
          <w:sz w:val="20"/>
          <w:szCs w:val="20"/>
        </w:rPr>
        <w:t>no</w:t>
      </w:r>
      <w:r w:rsidR="00BF325F">
        <w:rPr>
          <w:rStyle w:val="CCNormal"/>
          <w:sz w:val="20"/>
          <w:szCs w:val="20"/>
        </w:rPr>
        <w:t xml:space="preserve">. </w:t>
      </w:r>
      <w:r w:rsidR="001F786C">
        <w:rPr>
          <w:rStyle w:val="CCNormal"/>
          <w:sz w:val="20"/>
          <w:szCs w:val="20"/>
        </w:rPr>
        <w:t>Así las cosas</w:t>
      </w:r>
      <w:r w:rsidR="00BF325F">
        <w:rPr>
          <w:rStyle w:val="CCNormal"/>
          <w:sz w:val="20"/>
          <w:szCs w:val="20"/>
        </w:rPr>
        <w:t xml:space="preserve">, parece lógico que algunos </w:t>
      </w:r>
      <w:r>
        <w:rPr>
          <w:rStyle w:val="CCNormal"/>
          <w:sz w:val="20"/>
          <w:szCs w:val="20"/>
        </w:rPr>
        <w:t>c</w:t>
      </w:r>
      <w:r w:rsidR="00BF325F">
        <w:rPr>
          <w:rStyle w:val="CCNormal"/>
          <w:sz w:val="20"/>
          <w:szCs w:val="20"/>
        </w:rPr>
        <w:t>omisarios europeos tengan ciertas reservas al respecto.</w:t>
      </w:r>
    </w:p>
    <w:p w14:paraId="4BD6C872" w14:textId="5C448E59" w:rsidR="00D11777" w:rsidRDefault="00BF325F" w:rsidP="001A4973">
      <w:pPr>
        <w:rPr>
          <w:rStyle w:val="CCNormal"/>
          <w:sz w:val="20"/>
          <w:szCs w:val="20"/>
        </w:rPr>
      </w:pPr>
      <w:r>
        <w:rPr>
          <w:rStyle w:val="CCNormal"/>
          <w:sz w:val="20"/>
          <w:szCs w:val="20"/>
        </w:rPr>
        <w:t xml:space="preserve">Como sabemos de antemano cuál será la réplica de los que propugnan crear una DG Alimentación: «criticar es fácil; presenten propuestas», aquí les traemos algunas. Dado el actual contexto geopolítico, en el que nuestra seguridad alimentaria se ve socavada, es más </w:t>
      </w:r>
      <w:r>
        <w:rPr>
          <w:rStyle w:val="CCNormal"/>
          <w:sz w:val="20"/>
          <w:szCs w:val="20"/>
        </w:rPr>
        <w:lastRenderedPageBreak/>
        <w:t xml:space="preserve">importante que nunca apoyar a los productores y garantizar el relevo generacional. La posible adhesión de nuevos Estados miembros y su integración en el mercado común es una prueba más de que la Unión Europea no precisa reducir su actividad agrícola, sino impulsarla. </w:t>
      </w:r>
    </w:p>
    <w:p w14:paraId="2D93D38C" w14:textId="515C981C" w:rsidR="004B2C02" w:rsidRPr="00FB6704" w:rsidRDefault="00BF325F" w:rsidP="003718E1">
      <w:pPr>
        <w:rPr>
          <w:rStyle w:val="CCNormal"/>
          <w:sz w:val="20"/>
          <w:szCs w:val="20"/>
        </w:rPr>
      </w:pPr>
      <w:r>
        <w:rPr>
          <w:rStyle w:val="CCNormal"/>
          <w:sz w:val="20"/>
          <w:szCs w:val="20"/>
        </w:rPr>
        <w:t xml:space="preserve">Para lograrlo, necesitamos una voz firme dentro del Colegio de Comisarios, una que </w:t>
      </w:r>
      <w:r w:rsidR="00506669">
        <w:rPr>
          <w:rStyle w:val="CCNormal"/>
          <w:sz w:val="20"/>
          <w:szCs w:val="20"/>
        </w:rPr>
        <w:t xml:space="preserve">asuma </w:t>
      </w:r>
      <w:r>
        <w:rPr>
          <w:rStyle w:val="CCNormal"/>
          <w:sz w:val="20"/>
          <w:szCs w:val="20"/>
        </w:rPr>
        <w:t xml:space="preserve">la Vicepresidencia </w:t>
      </w:r>
      <w:r w:rsidR="00506669">
        <w:rPr>
          <w:rStyle w:val="CCNormal"/>
          <w:sz w:val="20"/>
          <w:szCs w:val="20"/>
        </w:rPr>
        <w:t xml:space="preserve">en representación de </w:t>
      </w:r>
      <w:r>
        <w:rPr>
          <w:rStyle w:val="CCNormal"/>
          <w:sz w:val="20"/>
          <w:szCs w:val="20"/>
        </w:rPr>
        <w:t xml:space="preserve">las zonas agrícolas y rurales durante sus transiciones. </w:t>
      </w:r>
      <w:r>
        <w:rPr>
          <w:rStyle w:val="CCNormal"/>
          <w:sz w:val="20"/>
        </w:rPr>
        <w:t xml:space="preserve">El cargo en la Vicepresidencia garantizaría la coherencia de todas las propuestas que repercuten en la comunidad agraria y velaría por que la agricultura pueda contribuir a las transiciones sin dejar a nadie atrás, al tiempo que impulsa </w:t>
      </w:r>
      <w:r w:rsidR="001F786C">
        <w:rPr>
          <w:rStyle w:val="CCNormal"/>
          <w:sz w:val="20"/>
        </w:rPr>
        <w:t>al máximo de explotaciones posible</w:t>
      </w:r>
      <w:r>
        <w:rPr>
          <w:rStyle w:val="CCNormal"/>
          <w:sz w:val="20"/>
        </w:rPr>
        <w:t xml:space="preserve">. </w:t>
      </w:r>
      <w:r>
        <w:rPr>
          <w:rStyle w:val="CCNormal"/>
          <w:sz w:val="20"/>
          <w:szCs w:val="20"/>
        </w:rPr>
        <w:t xml:space="preserve">Para evitar una desunión aún mayor entre los agricultores y la Comisión, proponemos asimismo que se refuercen los grupos de diálogo civil. Estos son foros esenciales para el debate y el diálogo entre los agricultores, la población rural, las ONG y los dirigentes europeos. </w:t>
      </w:r>
    </w:p>
    <w:p w14:paraId="234B19CF" w14:textId="0DF93C88" w:rsidR="003718E1" w:rsidRDefault="00AE21FC" w:rsidP="003718E1">
      <w:pPr>
        <w:rPr>
          <w:rStyle w:val="CCNormal"/>
          <w:sz w:val="20"/>
          <w:szCs w:val="20"/>
        </w:rPr>
      </w:pPr>
      <w:r>
        <w:rPr>
          <w:rStyle w:val="CCNormal"/>
          <w:sz w:val="20"/>
          <w:szCs w:val="20"/>
        </w:rPr>
        <w:t xml:space="preserve">Basta de marear la perdiz con reformas administrativas constantes. Centrémonos en el meollo del próximo diálogo estratégico que solicitó la presidenta de la Comisión, la Sra. </w:t>
      </w:r>
      <w:proofErr w:type="spellStart"/>
      <w:r>
        <w:rPr>
          <w:rStyle w:val="CCNormal"/>
          <w:sz w:val="20"/>
          <w:szCs w:val="20"/>
        </w:rPr>
        <w:t>Ursula</w:t>
      </w:r>
      <w:proofErr w:type="spellEnd"/>
      <w:r>
        <w:rPr>
          <w:rStyle w:val="CCNormal"/>
          <w:sz w:val="20"/>
          <w:szCs w:val="20"/>
        </w:rPr>
        <w:t xml:space="preserve"> </w:t>
      </w:r>
      <w:proofErr w:type="spellStart"/>
      <w:r>
        <w:rPr>
          <w:rStyle w:val="CCNormal"/>
          <w:sz w:val="20"/>
          <w:szCs w:val="20"/>
        </w:rPr>
        <w:t>von</w:t>
      </w:r>
      <w:proofErr w:type="spellEnd"/>
      <w:r>
        <w:rPr>
          <w:rStyle w:val="CCNormal"/>
          <w:sz w:val="20"/>
          <w:szCs w:val="20"/>
        </w:rPr>
        <w:t xml:space="preserve"> </w:t>
      </w:r>
      <w:proofErr w:type="spellStart"/>
      <w:r>
        <w:rPr>
          <w:rStyle w:val="CCNormal"/>
          <w:sz w:val="20"/>
          <w:szCs w:val="20"/>
        </w:rPr>
        <w:t>der</w:t>
      </w:r>
      <w:proofErr w:type="spellEnd"/>
      <w:r>
        <w:rPr>
          <w:rStyle w:val="CCNormal"/>
          <w:sz w:val="20"/>
          <w:szCs w:val="20"/>
        </w:rPr>
        <w:t xml:space="preserve"> </w:t>
      </w:r>
      <w:proofErr w:type="spellStart"/>
      <w:r>
        <w:rPr>
          <w:rStyle w:val="CCNormal"/>
          <w:sz w:val="20"/>
          <w:szCs w:val="20"/>
        </w:rPr>
        <w:t>Leyen</w:t>
      </w:r>
      <w:proofErr w:type="spellEnd"/>
      <w:r>
        <w:rPr>
          <w:rStyle w:val="CCNormal"/>
          <w:sz w:val="20"/>
          <w:szCs w:val="20"/>
        </w:rPr>
        <w:t>.</w:t>
      </w:r>
    </w:p>
    <w:p w14:paraId="3BC9F6F9" w14:textId="68443CE4" w:rsidR="00740120" w:rsidRPr="006848AB" w:rsidRDefault="00740120" w:rsidP="00740120">
      <w:pPr>
        <w:spacing w:line="264" w:lineRule="auto"/>
        <w:rPr>
          <w:rStyle w:val="CCNormal"/>
          <w:b/>
          <w:bCs/>
          <w:i/>
          <w:iCs/>
          <w:sz w:val="20"/>
          <w:szCs w:val="20"/>
        </w:rPr>
      </w:pPr>
      <w:r>
        <w:rPr>
          <w:rStyle w:val="CCNormal"/>
          <w:b/>
          <w:bCs/>
          <w:i/>
          <w:iCs/>
          <w:sz w:val="20"/>
          <w:szCs w:val="20"/>
        </w:rPr>
        <w:t xml:space="preserve">La Sra. </w:t>
      </w:r>
      <w:proofErr w:type="spellStart"/>
      <w:r>
        <w:rPr>
          <w:rStyle w:val="CCNormal"/>
          <w:b/>
          <w:bCs/>
          <w:i/>
          <w:iCs/>
          <w:sz w:val="20"/>
          <w:szCs w:val="20"/>
        </w:rPr>
        <w:t>Christiane</w:t>
      </w:r>
      <w:proofErr w:type="spellEnd"/>
      <w:r>
        <w:rPr>
          <w:rStyle w:val="CCNormal"/>
          <w:b/>
          <w:bCs/>
          <w:i/>
          <w:iCs/>
          <w:sz w:val="20"/>
          <w:szCs w:val="20"/>
        </w:rPr>
        <w:t xml:space="preserve"> Lambert, presidenta del Copa, y el Sr. Ram</w:t>
      </w:r>
      <w:r w:rsidR="00506669">
        <w:rPr>
          <w:rStyle w:val="CCNormal"/>
          <w:b/>
          <w:bCs/>
          <w:i/>
          <w:iCs/>
          <w:sz w:val="20"/>
          <w:szCs w:val="20"/>
        </w:rPr>
        <w:t>ó</w:t>
      </w:r>
      <w:r>
        <w:rPr>
          <w:rStyle w:val="CCNormal"/>
          <w:b/>
          <w:bCs/>
          <w:i/>
          <w:iCs/>
          <w:sz w:val="20"/>
          <w:szCs w:val="20"/>
        </w:rPr>
        <w:t xml:space="preserve">n Armengol, presidente de la </w:t>
      </w:r>
      <w:proofErr w:type="spellStart"/>
      <w:r>
        <w:rPr>
          <w:rStyle w:val="CCNormal"/>
          <w:b/>
          <w:bCs/>
          <w:i/>
          <w:iCs/>
          <w:sz w:val="20"/>
          <w:szCs w:val="20"/>
        </w:rPr>
        <w:t>Cogeca</w:t>
      </w:r>
      <w:proofErr w:type="spellEnd"/>
      <w:r>
        <w:rPr>
          <w:rStyle w:val="CCNormal"/>
          <w:b/>
          <w:bCs/>
          <w:i/>
          <w:iCs/>
          <w:sz w:val="20"/>
          <w:szCs w:val="20"/>
        </w:rPr>
        <w:t xml:space="preserve">. </w:t>
      </w:r>
    </w:p>
    <w:p w14:paraId="55C32E09" w14:textId="77777777" w:rsidR="00740120" w:rsidRPr="0074215F" w:rsidRDefault="00740120" w:rsidP="003718E1">
      <w:pPr>
        <w:rPr>
          <w:rStyle w:val="CCNormal"/>
          <w:sz w:val="20"/>
          <w:szCs w:val="20"/>
        </w:rPr>
      </w:pPr>
    </w:p>
    <w:p w14:paraId="156AD6E4" w14:textId="77777777" w:rsidR="00EA1A88" w:rsidRPr="0074215F" w:rsidRDefault="00EA1A88" w:rsidP="003718E1">
      <w:pPr>
        <w:rPr>
          <w:rStyle w:val="CCNormal"/>
          <w:sz w:val="20"/>
          <w:szCs w:val="20"/>
        </w:rPr>
      </w:pPr>
    </w:p>
    <w:p w14:paraId="73EC6A0D" w14:textId="6B6FA72E" w:rsidR="00EA1A88" w:rsidRPr="00135F43" w:rsidRDefault="00000000" w:rsidP="00244682">
      <w:sdt>
        <w:sdtPr>
          <w:rPr>
            <w:rFonts w:ascii="Montserrat" w:hAnsi="Montserrat"/>
            <w:b/>
            <w:bCs/>
            <w:color w:val="697331"/>
            <w:sz w:val="28"/>
            <w:szCs w:val="28"/>
          </w:rPr>
          <w:id w:val="636535682"/>
          <w:placeholder>
            <w:docPart w:val="5A2C4733BFB547A29DE112D9911DB19E"/>
          </w:placeholder>
          <w:temporary/>
        </w:sdtPr>
        <w:sdtContent>
          <w:r w:rsidR="00492B15">
            <w:rPr>
              <w:rFonts w:ascii="Montserrat" w:hAnsi="Montserrat"/>
              <w:b/>
              <w:bCs/>
              <w:color w:val="697331"/>
              <w:sz w:val="28"/>
              <w:szCs w:val="28"/>
            </w:rPr>
            <w:t>-FIN-</w:t>
          </w:r>
        </w:sdtContent>
      </w:sdt>
      <w:r w:rsidR="00492B15">
        <w:rPr>
          <w:rFonts w:ascii="Montserrat" w:hAnsi="Montserrat"/>
          <w:b/>
          <w:bCs/>
          <w:color w:val="697331"/>
          <w:sz w:val="28"/>
          <w:szCs w:val="28"/>
        </w:rPr>
        <w:t xml:space="preserve"> </w:t>
      </w:r>
    </w:p>
    <w:p w14:paraId="30F1F804" w14:textId="24CE5FA3"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El presente texto estará disponible en breve en el sitio web del Copa-</w:t>
      </w:r>
      <w:proofErr w:type="spellStart"/>
      <w:r>
        <w:rPr>
          <w:rFonts w:ascii="Montserrat" w:hAnsi="Montserrat"/>
          <w:color w:val="3A3838"/>
          <w:sz w:val="20"/>
          <w:szCs w:val="20"/>
        </w:rPr>
        <w:t>Cogeca</w:t>
      </w:r>
      <w:proofErr w:type="spellEnd"/>
      <w:r>
        <w:rPr>
          <w:rFonts w:ascii="Montserrat" w:hAnsi="Montserrat"/>
          <w:color w:val="3A3838"/>
          <w:sz w:val="20"/>
          <w:szCs w:val="20"/>
        </w:rPr>
        <w:t xml:space="preserve"> en los idiomas siguientes: alemán, francés, inglés, italiano, polaco y rumano. </w:t>
      </w:r>
    </w:p>
    <w:p w14:paraId="4DC482F9" w14:textId="77777777" w:rsidR="00E6727E" w:rsidRPr="00135F43" w:rsidRDefault="00E6727E" w:rsidP="00DF6217">
      <w:pPr>
        <w:pStyle w:val="CCDocBody"/>
        <w:rPr>
          <w:sz w:val="20"/>
          <w:szCs w:val="20"/>
        </w:rPr>
      </w:pPr>
      <w:r>
        <w:rPr>
          <w:rStyle w:val="CCNormal"/>
          <w:sz w:val="20"/>
          <w:szCs w:val="20"/>
        </w:rPr>
        <w:t xml:space="preserve">Acerca de los autores: el Copa y la </w:t>
      </w:r>
      <w:proofErr w:type="spellStart"/>
      <w:r>
        <w:rPr>
          <w:rStyle w:val="CCNormal"/>
          <w:sz w:val="20"/>
          <w:szCs w:val="20"/>
        </w:rPr>
        <w:t>Cogeca</w:t>
      </w:r>
      <w:proofErr w:type="spellEnd"/>
      <w:r>
        <w:rPr>
          <w:rStyle w:val="CCNormal"/>
          <w:sz w:val="20"/>
          <w:szCs w:val="20"/>
        </w:rPr>
        <w:t xml:space="preserve"> representamos la voz unida de los agricultores y de las cooperativas agrarias de la UE. Juntos, nos aseguramos de que la agricultura de la UE sea un sector sostenible, innovador y competitivo, garantizando al mismo tiempo la seguridad alimentaria de más de 500 millones de personas en Europa. &gt;&gt;&gt; Le invitamos a consultar nuestra página web: </w:t>
      </w:r>
      <w:hyperlink r:id="rId11" w:history="1">
        <w:r>
          <w:rPr>
            <w:rStyle w:val="Hyperlink"/>
            <w:rFonts w:ascii="Montserrat" w:hAnsi="Montserrat"/>
            <w:sz w:val="20"/>
            <w:szCs w:val="20"/>
          </w:rPr>
          <w:t>www.copa-cogeca.eu</w:t>
        </w:r>
      </w:hyperlink>
      <w:r>
        <w:t>.</w:t>
      </w:r>
    </w:p>
    <w:sdt>
      <w:sdtPr>
        <w:rPr>
          <w:rFonts w:ascii="Montserrat Light" w:eastAsiaTheme="minorHAnsi" w:hAnsi="Montserrat Light" w:cstheme="minorBidi"/>
          <w:color w:val="58595B"/>
          <w:sz w:val="22"/>
          <w:szCs w:val="22"/>
        </w:rPr>
        <w:id w:val="-926261863"/>
        <w:lock w:val="sdtContentLocked"/>
        <w:placeholder>
          <w:docPart w:val="5A2C4733BFB547A29DE112D9911DB19E"/>
        </w:placeholder>
      </w:sdtPr>
      <w:sdtContent>
        <w:p w14:paraId="06E17C47"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val="en-US"/>
            </w:rPr>
            <mc:AlternateContent>
              <mc:Choice Requires="wps">
                <w:drawing>
                  <wp:anchor distT="0" distB="0" distL="114300" distR="114300" simplePos="0" relativeHeight="251659264" behindDoc="0" locked="0" layoutInCell="1" allowOverlap="1" wp14:anchorId="593D05B5" wp14:editId="1510E306">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69C8DD5"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5A2C4733BFB547A29DE112D9911DB19E"/>
        </w:placeholder>
        <w:temporary/>
      </w:sdtPr>
      <w:sdtContent>
        <w:p w14:paraId="13695FE6"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Para más información, puede contactar con:</w:t>
          </w:r>
        </w:p>
      </w:sdtContent>
    </w:sdt>
    <w:tbl>
      <w:tblPr>
        <w:tblW w:w="0" w:type="auto"/>
        <w:tblLook w:val="04A0" w:firstRow="1" w:lastRow="0" w:firstColumn="1" w:lastColumn="0" w:noHBand="0" w:noVBand="1"/>
      </w:tblPr>
      <w:tblGrid>
        <w:gridCol w:w="4253"/>
        <w:gridCol w:w="4763"/>
      </w:tblGrid>
      <w:tr w:rsidR="00E6727E" w:rsidRPr="00135F43" w14:paraId="24BD05EB" w14:textId="77777777" w:rsidTr="00716D7C">
        <w:tc>
          <w:tcPr>
            <w:tcW w:w="4253" w:type="dxa"/>
          </w:tcPr>
          <w:p w14:paraId="2151679D" w14:textId="77777777" w:rsidR="00E6727E" w:rsidRPr="00AE21FC" w:rsidRDefault="00377C60" w:rsidP="00AE21FC">
            <w:pPr>
              <w:spacing w:after="0" w:line="240" w:lineRule="auto"/>
              <w:rPr>
                <w:rFonts w:ascii="Montserrat" w:hAnsi="Montserrat"/>
                <w:sz w:val="20"/>
                <w:szCs w:val="20"/>
              </w:rPr>
            </w:pPr>
            <w:r>
              <w:rPr>
                <w:rFonts w:ascii="Montserrat" w:hAnsi="Montserrat"/>
                <w:sz w:val="20"/>
                <w:szCs w:val="20"/>
              </w:rPr>
              <w:t xml:space="preserve">Patrick Pagani </w:t>
            </w:r>
          </w:p>
          <w:p w14:paraId="18183244" w14:textId="77777777" w:rsidR="00377C60" w:rsidRPr="00AE21FC" w:rsidRDefault="00377C60" w:rsidP="00AE21FC">
            <w:pPr>
              <w:spacing w:after="0" w:line="240" w:lineRule="auto"/>
              <w:rPr>
                <w:rFonts w:ascii="Montserrat" w:hAnsi="Montserrat"/>
                <w:sz w:val="20"/>
                <w:szCs w:val="20"/>
              </w:rPr>
            </w:pPr>
            <w:r>
              <w:rPr>
                <w:rFonts w:ascii="Montserrat" w:hAnsi="Montserrat"/>
                <w:sz w:val="20"/>
                <w:szCs w:val="20"/>
              </w:rPr>
              <w:t>Asesor principal de políticas</w:t>
            </w:r>
          </w:p>
          <w:p w14:paraId="063EFAD4" w14:textId="20A68591" w:rsidR="00377C60" w:rsidRPr="00686D11" w:rsidRDefault="00377C60" w:rsidP="00AE21FC">
            <w:pPr>
              <w:rPr>
                <w:rFonts w:ascii="Montserrat" w:hAnsi="Montserrat"/>
                <w:sz w:val="20"/>
                <w:szCs w:val="20"/>
              </w:rPr>
            </w:pPr>
            <w:r>
              <w:rPr>
                <w:rStyle w:val="Hyperlink"/>
                <w:sz w:val="20"/>
                <w:szCs w:val="20"/>
              </w:rPr>
              <w:t>patrick.pagani@copa-cogeca.eu</w:t>
            </w:r>
          </w:p>
        </w:tc>
        <w:tc>
          <w:tcPr>
            <w:tcW w:w="4763" w:type="dxa"/>
          </w:tcPr>
          <w:p w14:paraId="3929416D" w14:textId="69731620" w:rsidR="00E6727E" w:rsidRPr="00135F43" w:rsidRDefault="00441BFC" w:rsidP="00B953B8">
            <w:pPr>
              <w:pStyle w:val="NoSpacing"/>
              <w:rPr>
                <w:rFonts w:ascii="Montserrat" w:hAnsi="Montserrat"/>
                <w:sz w:val="20"/>
                <w:szCs w:val="20"/>
              </w:rPr>
            </w:pPr>
            <w:r>
              <w:rPr>
                <w:rFonts w:ascii="Montserrat" w:hAnsi="Montserrat"/>
                <w:sz w:val="20"/>
                <w:szCs w:val="20"/>
              </w:rPr>
              <w:t>Jean-Baptiste Boucher</w:t>
            </w:r>
          </w:p>
          <w:p w14:paraId="7EBFC517" w14:textId="77FA078A" w:rsidR="00E6727E" w:rsidRPr="00135F43" w:rsidRDefault="00441BFC" w:rsidP="00B953B8">
            <w:pPr>
              <w:pStyle w:val="NoSpacing"/>
              <w:rPr>
                <w:rFonts w:ascii="Montserrat" w:hAnsi="Montserrat"/>
                <w:sz w:val="20"/>
                <w:szCs w:val="20"/>
              </w:rPr>
            </w:pPr>
            <w:r>
              <w:rPr>
                <w:rFonts w:ascii="Montserrat" w:hAnsi="Montserrat"/>
                <w:sz w:val="20"/>
                <w:szCs w:val="20"/>
              </w:rPr>
              <w:t>Director de comunicación</w:t>
            </w:r>
          </w:p>
          <w:p w14:paraId="1DF90309" w14:textId="4E7E6DA5" w:rsidR="00E6727E" w:rsidRPr="00135F43" w:rsidRDefault="00441BFC" w:rsidP="00B953B8">
            <w:pPr>
              <w:pStyle w:val="NoSpacing"/>
              <w:rPr>
                <w:rFonts w:ascii="Montserrat" w:hAnsi="Montserrat"/>
                <w:sz w:val="20"/>
                <w:szCs w:val="20"/>
              </w:rPr>
            </w:pPr>
            <w:r>
              <w:rPr>
                <w:rFonts w:ascii="Montserrat" w:hAnsi="Montserrat"/>
                <w:sz w:val="20"/>
                <w:szCs w:val="20"/>
              </w:rPr>
              <w:t>+32 474 84 08 36</w:t>
            </w:r>
          </w:p>
          <w:p w14:paraId="74F63786" w14:textId="0818D43B" w:rsidR="00E6727E" w:rsidRPr="00135F43" w:rsidRDefault="00441BFC" w:rsidP="00B953B8">
            <w:pPr>
              <w:rPr>
                <w:rFonts w:ascii="Montserrat" w:hAnsi="Montserrat"/>
                <w:sz w:val="20"/>
                <w:szCs w:val="20"/>
              </w:rPr>
            </w:pPr>
            <w:r>
              <w:rPr>
                <w:rStyle w:val="Hyperlink"/>
                <w:rFonts w:ascii="Montserrat" w:hAnsi="Montserrat"/>
                <w:sz w:val="20"/>
                <w:szCs w:val="20"/>
              </w:rPr>
              <w:t>jean-baptiste.boucher@copa-cogeca.eu</w:t>
            </w:r>
          </w:p>
        </w:tc>
      </w:tr>
    </w:tbl>
    <w:p w14:paraId="0298D421" w14:textId="77777777" w:rsidR="00E6727E" w:rsidRDefault="00E6727E" w:rsidP="00135F43"/>
    <w:p w14:paraId="3C0E9B9A" w14:textId="77777777" w:rsidR="00817677" w:rsidRDefault="00817677" w:rsidP="00135F43"/>
    <w:p w14:paraId="177443D5" w14:textId="77777777" w:rsidR="00817677" w:rsidRDefault="00817677" w:rsidP="00817677">
      <w:pPr>
        <w:jc w:val="center"/>
      </w:pPr>
      <w:r>
        <w:t>Lista de distribución de los comunicados de prensa</w:t>
      </w:r>
    </w:p>
    <w:p w14:paraId="625B0789" w14:textId="77777777" w:rsidR="00817677" w:rsidRPr="00817677" w:rsidRDefault="00817677" w:rsidP="00817677">
      <w:pPr>
        <w:jc w:val="center"/>
      </w:pPr>
      <w:r>
        <w:rPr>
          <w:noProof/>
          <w:lang w:val="en-US"/>
        </w:rPr>
        <w:lastRenderedPageBreak/>
        <mc:AlternateContent>
          <mc:Choice Requires="wps">
            <w:drawing>
              <wp:anchor distT="0" distB="0" distL="114300" distR="114300" simplePos="0" relativeHeight="251662336" behindDoc="0" locked="0" layoutInCell="1" allowOverlap="1" wp14:anchorId="43E210BB" wp14:editId="52A8AE93">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AEAF276"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Desabonarse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E210BB"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AEAF276"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Desabonarse</w:t>
                      </w:r>
                    </w:p>
                  </w:txbxContent>
                </v:textbox>
              </v:roundrect>
            </w:pict>
          </mc:Fallback>
        </mc:AlternateContent>
      </w:r>
      <w:r>
        <w:rPr>
          <w:noProof/>
          <w:lang w:val="en-US"/>
        </w:rPr>
        <mc:AlternateContent>
          <mc:Choice Requires="wps">
            <w:drawing>
              <wp:anchor distT="0" distB="0" distL="114300" distR="114300" simplePos="0" relativeHeight="251660288" behindDoc="0" locked="0" layoutInCell="1" allowOverlap="1" wp14:anchorId="2C3E12AC" wp14:editId="645F1F15">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5F854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3E12AC"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5F854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Abonarse</w:t>
                      </w:r>
                    </w:p>
                  </w:txbxContent>
                </v:textbox>
              </v:roundrect>
            </w:pict>
          </mc:Fallback>
        </mc:AlternateContent>
      </w:r>
      <w:bookmarkEnd w:id="0"/>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1629C" w14:textId="77777777" w:rsidR="00845108" w:rsidRPr="00716D7C" w:rsidRDefault="00845108" w:rsidP="00716D7C">
      <w:r>
        <w:separator/>
      </w:r>
    </w:p>
  </w:endnote>
  <w:endnote w:type="continuationSeparator" w:id="0">
    <w:p w14:paraId="73CF51D8" w14:textId="77777777" w:rsidR="00845108" w:rsidRPr="00716D7C" w:rsidRDefault="00845108"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EADE89E-97D4-4F45-A4AA-AA5502CFE8BB}"/>
    <w:embedBold r:id="rId2" w:fontKey="{341BAA4F-0088-4652-B2E2-11D792AA63B8}"/>
    <w:embedBoldItalic r:id="rId3" w:fontKey="{04B6D922-04C8-493F-9E40-8ED909AD0724}"/>
  </w:font>
  <w:font w:name="Montserrat Light">
    <w:charset w:val="00"/>
    <w:family w:val="auto"/>
    <w:pitch w:val="variable"/>
    <w:sig w:usb0="2000020F" w:usb1="00000003" w:usb2="00000000" w:usb3="00000000" w:csb0="00000197" w:csb1="00000000"/>
    <w:embedRegular r:id="rId4" w:fontKey="{FA684391-803E-4ABF-98EA-829448B9F852}"/>
    <w:embedBold r:id="rId5" w:fontKey="{86C87DDD-5867-4608-AD2F-0CBA922FC11A}"/>
  </w:font>
  <w:font w:name="Calibri Light">
    <w:panose1 w:val="020F0302020204030204"/>
    <w:charset w:val="00"/>
    <w:family w:val="swiss"/>
    <w:pitch w:val="variable"/>
    <w:sig w:usb0="E4002EFF" w:usb1="C000247B" w:usb2="00000009" w:usb3="00000000" w:csb0="000001FF" w:csb1="00000000"/>
    <w:embedRegular r:id="rId6" w:fontKey="{F664FAC2-8609-4D70-9C9F-511D9F9CCD12}"/>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7" w:fontKey="{666DDEA3-7ECE-44C3-BB22-BA7AF703E2C0}"/>
    <w:embedBold r:id="rId8" w:fontKey="{00FD01BB-80D4-4651-AB5B-71B7E01B45D0}"/>
    <w:embedBoldItalic r:id="rId9" w:fontKey="{2A3E6C93-983F-4847-9AB0-8C6283062B38}"/>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DEC2"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val="en-US"/>
      </w:rPr>
      <w:drawing>
        <wp:anchor distT="0" distB="0" distL="114300" distR="114300" simplePos="0" relativeHeight="251661312" behindDoc="1" locked="0" layoutInCell="1" allowOverlap="1" wp14:anchorId="59950930" wp14:editId="458E6C86">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w:t>
    </w:r>
    <w:proofErr w:type="spellStart"/>
    <w:r>
      <w:rPr>
        <w:rFonts w:ascii="Montserrat" w:hAnsi="Montserrat"/>
        <w:sz w:val="16"/>
        <w:szCs w:val="16"/>
      </w:rPr>
      <w:t>Cogeca</w:t>
    </w:r>
    <w:proofErr w:type="spellEnd"/>
    <w:r>
      <w:rPr>
        <w:rFonts w:ascii="Montserrat" w:hAnsi="Montserrat"/>
        <w:sz w:val="16"/>
        <w:szCs w:val="16"/>
      </w:rPr>
      <w:t xml:space="preserve"> | Agricultores Europeos Cooperativas Agrarias Europeas </w:t>
    </w:r>
  </w:p>
  <w:p w14:paraId="1F5B8C19" w14:textId="01D122E3"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Rue de </w:t>
    </w:r>
    <w:proofErr w:type="spellStart"/>
    <w:r>
      <w:rPr>
        <w:rFonts w:ascii="Montserrat" w:hAnsi="Montserrat"/>
        <w:sz w:val="16"/>
        <w:szCs w:val="16"/>
      </w:rPr>
      <w:t>Trèves</w:t>
    </w:r>
    <w:proofErr w:type="spellEnd"/>
    <w:r>
      <w:rPr>
        <w:rFonts w:ascii="Montserrat" w:hAnsi="Montserrat"/>
        <w:sz w:val="16"/>
        <w:szCs w:val="16"/>
      </w:rPr>
      <w:t xml:space="preserve"> | B - 1040 Bruselas | www.Copa-Cogeca.eu</w:t>
    </w:r>
    <w:r w:rsidR="0002572A">
      <w:rPr>
        <w:rFonts w:ascii="Montserrat" w:hAnsi="Montserrat"/>
        <w:sz w:val="16"/>
        <w:szCs w:val="16"/>
      </w:rPr>
      <w:t xml:space="preserve"> </w:t>
    </w:r>
  </w:p>
  <w:p w14:paraId="161A69D6" w14:textId="77777777" w:rsidR="00107120" w:rsidRPr="008403E3" w:rsidRDefault="00107120" w:rsidP="00107120">
    <w:pPr>
      <w:spacing w:after="0"/>
      <w:ind w:left="1134"/>
      <w:rPr>
        <w:rFonts w:ascii="Montserrat" w:hAnsi="Montserrat"/>
        <w:sz w:val="16"/>
        <w:szCs w:val="16"/>
      </w:rPr>
    </w:pPr>
    <w:proofErr w:type="spellStart"/>
    <w:r>
      <w:rPr>
        <w:rFonts w:ascii="Montserrat" w:hAnsi="Montserrat"/>
        <w:sz w:val="16"/>
        <w:szCs w:val="16"/>
      </w:rPr>
      <w:t>N°</w:t>
    </w:r>
    <w:proofErr w:type="spellEnd"/>
    <w:r>
      <w:rPr>
        <w:rFonts w:ascii="Montserrat" w:hAnsi="Montserrat"/>
        <w:sz w:val="16"/>
        <w:szCs w:val="16"/>
      </w:rPr>
      <w:t xml:space="preserve"> de registro de transparencia de la UE | Copa 44856881231-49 | </w:t>
    </w:r>
    <w:proofErr w:type="spellStart"/>
    <w:r>
      <w:rPr>
        <w:rFonts w:ascii="Montserrat" w:hAnsi="Montserrat"/>
        <w:sz w:val="16"/>
        <w:szCs w:val="16"/>
      </w:rPr>
      <w:t>Cogeca</w:t>
    </w:r>
    <w:proofErr w:type="spellEnd"/>
    <w:r>
      <w:rPr>
        <w:rFonts w:ascii="Montserrat" w:hAnsi="Montserrat"/>
        <w:sz w:val="16"/>
        <w:szCs w:val="16"/>
      </w:rPr>
      <w:t xml:space="preserve"> 09586631237-74</w:t>
    </w:r>
  </w:p>
  <w:p w14:paraId="0E5AE68D"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FC4D"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val="en-US"/>
      </w:rPr>
      <w:drawing>
        <wp:anchor distT="0" distB="0" distL="114300" distR="114300" simplePos="0" relativeHeight="251659264" behindDoc="1" locked="0" layoutInCell="1" allowOverlap="1" wp14:anchorId="3A93616E" wp14:editId="430D93C6">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w:t>
    </w:r>
    <w:proofErr w:type="spellStart"/>
    <w:r>
      <w:rPr>
        <w:rFonts w:ascii="Montserrat" w:hAnsi="Montserrat"/>
        <w:sz w:val="16"/>
        <w:szCs w:val="16"/>
      </w:rPr>
      <w:t>Cogeca</w:t>
    </w:r>
    <w:proofErr w:type="spellEnd"/>
    <w:r>
      <w:rPr>
        <w:rFonts w:ascii="Montserrat" w:hAnsi="Montserrat"/>
        <w:sz w:val="16"/>
        <w:szCs w:val="16"/>
      </w:rPr>
      <w:t xml:space="preserve"> | Agricultores Europeos Cooperativas Agrarias Europeas </w:t>
    </w:r>
  </w:p>
  <w:p w14:paraId="1F670A0A" w14:textId="19429784"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Rue de </w:t>
    </w:r>
    <w:proofErr w:type="spellStart"/>
    <w:r>
      <w:rPr>
        <w:rFonts w:ascii="Montserrat" w:hAnsi="Montserrat"/>
        <w:sz w:val="16"/>
        <w:szCs w:val="16"/>
      </w:rPr>
      <w:t>Trèves</w:t>
    </w:r>
    <w:proofErr w:type="spellEnd"/>
    <w:r>
      <w:rPr>
        <w:rFonts w:ascii="Montserrat" w:hAnsi="Montserrat"/>
        <w:sz w:val="16"/>
        <w:szCs w:val="16"/>
      </w:rPr>
      <w:t xml:space="preserve"> | B - 1040 Bruselas | www.Copa-Cogeca.eu</w:t>
    </w:r>
    <w:r w:rsidR="0002572A">
      <w:rPr>
        <w:rFonts w:ascii="Montserrat" w:hAnsi="Montserrat"/>
        <w:sz w:val="16"/>
        <w:szCs w:val="16"/>
      </w:rPr>
      <w:t xml:space="preserve"> </w:t>
    </w:r>
  </w:p>
  <w:p w14:paraId="4EF8E30B" w14:textId="77777777" w:rsidR="00107120" w:rsidRPr="008403E3" w:rsidRDefault="00107120" w:rsidP="00107120">
    <w:pPr>
      <w:spacing w:after="0"/>
      <w:ind w:left="1134"/>
      <w:rPr>
        <w:rFonts w:ascii="Montserrat" w:hAnsi="Montserrat"/>
        <w:sz w:val="16"/>
        <w:szCs w:val="16"/>
      </w:rPr>
    </w:pPr>
    <w:proofErr w:type="spellStart"/>
    <w:r>
      <w:rPr>
        <w:rFonts w:ascii="Montserrat" w:hAnsi="Montserrat"/>
        <w:sz w:val="16"/>
        <w:szCs w:val="16"/>
      </w:rPr>
      <w:t>N°</w:t>
    </w:r>
    <w:proofErr w:type="spellEnd"/>
    <w:r>
      <w:rPr>
        <w:rFonts w:ascii="Montserrat" w:hAnsi="Montserrat"/>
        <w:sz w:val="16"/>
        <w:szCs w:val="16"/>
      </w:rPr>
      <w:t xml:space="preserve"> de registro de transparencia de la UE | Copa 44856881231-49 | </w:t>
    </w:r>
    <w:proofErr w:type="spellStart"/>
    <w:r>
      <w:rPr>
        <w:rFonts w:ascii="Montserrat" w:hAnsi="Montserrat"/>
        <w:sz w:val="16"/>
        <w:szCs w:val="16"/>
      </w:rPr>
      <w:t>Cogeca</w:t>
    </w:r>
    <w:proofErr w:type="spellEnd"/>
    <w:r>
      <w:rPr>
        <w:rFonts w:ascii="Montserrat" w:hAnsi="Montserrat"/>
        <w:sz w:val="16"/>
        <w:szCs w:val="16"/>
      </w:rPr>
      <w:t xml:space="preserve"> 09586631237-74</w:t>
    </w:r>
  </w:p>
  <w:p w14:paraId="3D2B0CCA"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2AB36" w14:textId="77777777" w:rsidR="00845108" w:rsidRPr="00716D7C" w:rsidRDefault="00845108" w:rsidP="00716D7C">
      <w:r>
        <w:separator/>
      </w:r>
    </w:p>
  </w:footnote>
  <w:footnote w:type="continuationSeparator" w:id="0">
    <w:p w14:paraId="7DD5B94A" w14:textId="77777777" w:rsidR="00845108" w:rsidRPr="00716D7C" w:rsidRDefault="00845108" w:rsidP="00716D7C">
      <w:r>
        <w:continuationSeparator/>
      </w:r>
    </w:p>
  </w:footnote>
  <w:footnote w:id="1">
    <w:p w14:paraId="1BC3C9D7" w14:textId="671F4391" w:rsidR="00B90BB2" w:rsidRPr="00B90BB2" w:rsidRDefault="00B90BB2">
      <w:pPr>
        <w:pStyle w:val="FootnoteText"/>
        <w:rPr>
          <w:sz w:val="14"/>
          <w:szCs w:val="14"/>
        </w:rPr>
      </w:pPr>
      <w:bookmarkStart w:id="1" w:name="_Hlk152668347"/>
      <w:r>
        <w:rPr>
          <w:rStyle w:val="FootnoteReference"/>
        </w:rPr>
        <w:footnoteRef/>
      </w:r>
      <w:r>
        <w:t xml:space="preserve"> </w:t>
      </w:r>
      <w:r>
        <w:rPr>
          <w:rStyle w:val="FootnoteReference"/>
          <w:sz w:val="14"/>
          <w:szCs w:val="14"/>
        </w:rPr>
        <w:footnoteRef/>
      </w:r>
      <w:r>
        <w:rPr>
          <w:sz w:val="14"/>
          <w:szCs w:val="14"/>
        </w:rPr>
        <w:t xml:space="preserve"> </w:t>
      </w:r>
      <w:hyperlink r:id="rId1" w:history="1">
        <w:r>
          <w:rPr>
            <w:rStyle w:val="Hyperlink"/>
            <w:sz w:val="14"/>
            <w:szCs w:val="14"/>
          </w:rPr>
          <w:t>https://www.euractiv.com/section/agriculture-food/news/commission-considers-reshuffle-of-top-jobs-amid-calls-for-a-food-chief/</w:t>
        </w:r>
      </w:hyperlink>
      <w:r>
        <w:rPr>
          <w:sz w:val="14"/>
          <w:szCs w:val="14"/>
        </w:rPr>
        <w:t xml:space="preserve"> </w:t>
      </w:r>
    </w:p>
    <w:bookmarkEnd w:id="1"/>
  </w:footnote>
  <w:footnote w:id="2">
    <w:p w14:paraId="2BA52674" w14:textId="6A3A77CF" w:rsidR="00DB66ED" w:rsidRPr="00DB66ED" w:rsidRDefault="00DB66ED">
      <w:pPr>
        <w:pStyle w:val="FootnoteText"/>
      </w:pPr>
      <w:r>
        <w:rPr>
          <w:rStyle w:val="FootnoteReference"/>
        </w:rPr>
        <w:footnoteRef/>
      </w:r>
      <w:r>
        <w:rPr>
          <w:rStyle w:val="Hyperlink"/>
          <w:sz w:val="14"/>
          <w:szCs w:val="14"/>
        </w:rPr>
        <w:t>https://www.consilium.europa.eu/en/press/press-releases/2023/11/20/a-long-term-vision-for-the-eu-s-rural-areas-council-approves-conclusions/</w:t>
      </w:r>
    </w:p>
  </w:footnote>
  <w:footnote w:id="3">
    <w:p w14:paraId="5BA7DCD3" w14:textId="3AEFC29A" w:rsidR="006C3980" w:rsidRPr="00DB66ED" w:rsidRDefault="006C3980">
      <w:pPr>
        <w:pStyle w:val="FootnoteText"/>
      </w:pPr>
      <w:r>
        <w:rPr>
          <w:rStyle w:val="FootnoteReference"/>
        </w:rPr>
        <w:footnoteRef/>
      </w:r>
      <w:r>
        <w:t xml:space="preserve"> </w:t>
      </w:r>
      <w:r>
        <w:rPr>
          <w:rStyle w:val="Hyperlink"/>
          <w:sz w:val="14"/>
          <w:szCs w:val="14"/>
        </w:rPr>
        <w:t>https://commission.europa.eu/strategy-and-policy/priorities-2019-2024/european-green-deal/repowereu-affordable-secure-and-sustainable-energy-europe_en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D513"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Content>
      <w:p w14:paraId="766F8632" w14:textId="77777777" w:rsidR="00135F43" w:rsidRDefault="00135F43" w:rsidP="00135F43">
        <w:pPr>
          <w:jc w:val="left"/>
          <w:rPr>
            <w:noProof/>
          </w:rPr>
        </w:pPr>
        <w:r>
          <w:rPr>
            <w:noProof/>
            <w:lang w:val="en-US"/>
          </w:rPr>
          <w:drawing>
            <wp:inline distT="0" distB="0" distL="0" distR="0" wp14:anchorId="03E634B7" wp14:editId="3180F067">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2F7C34C2"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6C97305"/>
    <w:multiLevelType w:val="hybridMultilevel"/>
    <w:tmpl w:val="D068BD1C"/>
    <w:lvl w:ilvl="0" w:tplc="54DE5B3C">
      <w:start w:val="1"/>
      <w:numFmt w:val="decimal"/>
      <w:lvlText w:val="%1."/>
      <w:lvlJc w:val="left"/>
      <w:pPr>
        <w:ind w:left="720" w:hanging="360"/>
      </w:pPr>
      <w:rPr>
        <w:b w:val="0"/>
        <w:bCs w:val="0"/>
        <w:color w:val="44546A" w:themeColor="tex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084835170">
    <w:abstractNumId w:val="9"/>
  </w:num>
  <w:num w:numId="2" w16cid:durableId="1660842754">
    <w:abstractNumId w:val="7"/>
  </w:num>
  <w:num w:numId="3" w16cid:durableId="1451438203">
    <w:abstractNumId w:val="6"/>
  </w:num>
  <w:num w:numId="4" w16cid:durableId="738987079">
    <w:abstractNumId w:val="5"/>
  </w:num>
  <w:num w:numId="5" w16cid:durableId="952633093">
    <w:abstractNumId w:val="4"/>
  </w:num>
  <w:num w:numId="6" w16cid:durableId="340158284">
    <w:abstractNumId w:val="8"/>
  </w:num>
  <w:num w:numId="7" w16cid:durableId="455414069">
    <w:abstractNumId w:val="3"/>
  </w:num>
  <w:num w:numId="8" w16cid:durableId="1007710082">
    <w:abstractNumId w:val="2"/>
  </w:num>
  <w:num w:numId="9" w16cid:durableId="171141461">
    <w:abstractNumId w:val="1"/>
  </w:num>
  <w:num w:numId="10" w16cid:durableId="1441727689">
    <w:abstractNumId w:val="0"/>
  </w:num>
  <w:num w:numId="11" w16cid:durableId="6450884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BB4"/>
    <w:rsid w:val="00006AB9"/>
    <w:rsid w:val="0002572A"/>
    <w:rsid w:val="000331D1"/>
    <w:rsid w:val="000356F5"/>
    <w:rsid w:val="000406CF"/>
    <w:rsid w:val="00071DB6"/>
    <w:rsid w:val="0008105D"/>
    <w:rsid w:val="000B1D84"/>
    <w:rsid w:val="000D0E47"/>
    <w:rsid w:val="000D2B3B"/>
    <w:rsid w:val="000D34BA"/>
    <w:rsid w:val="000F676D"/>
    <w:rsid w:val="00100850"/>
    <w:rsid w:val="00107120"/>
    <w:rsid w:val="00107902"/>
    <w:rsid w:val="00117877"/>
    <w:rsid w:val="0012016A"/>
    <w:rsid w:val="00125A1D"/>
    <w:rsid w:val="0013357E"/>
    <w:rsid w:val="00135F43"/>
    <w:rsid w:val="00146C88"/>
    <w:rsid w:val="0015598F"/>
    <w:rsid w:val="001648FF"/>
    <w:rsid w:val="00165DC9"/>
    <w:rsid w:val="00170592"/>
    <w:rsid w:val="00171312"/>
    <w:rsid w:val="00175F2B"/>
    <w:rsid w:val="00182716"/>
    <w:rsid w:val="00187A93"/>
    <w:rsid w:val="001950AD"/>
    <w:rsid w:val="001A4973"/>
    <w:rsid w:val="001D4B86"/>
    <w:rsid w:val="001E1ED9"/>
    <w:rsid w:val="001F0835"/>
    <w:rsid w:val="001F1C55"/>
    <w:rsid w:val="001F2868"/>
    <w:rsid w:val="001F786C"/>
    <w:rsid w:val="00204BB4"/>
    <w:rsid w:val="00215D96"/>
    <w:rsid w:val="002242B4"/>
    <w:rsid w:val="00235A0D"/>
    <w:rsid w:val="0024379A"/>
    <w:rsid w:val="00244682"/>
    <w:rsid w:val="002562CB"/>
    <w:rsid w:val="002606E9"/>
    <w:rsid w:val="00260901"/>
    <w:rsid w:val="00272E26"/>
    <w:rsid w:val="002A5087"/>
    <w:rsid w:val="002B0FFD"/>
    <w:rsid w:val="002D4EA5"/>
    <w:rsid w:val="002D57AF"/>
    <w:rsid w:val="002D6A7B"/>
    <w:rsid w:val="002E02A5"/>
    <w:rsid w:val="002F16D4"/>
    <w:rsid w:val="003126C2"/>
    <w:rsid w:val="003142E4"/>
    <w:rsid w:val="00314908"/>
    <w:rsid w:val="00327F42"/>
    <w:rsid w:val="00335749"/>
    <w:rsid w:val="00341D97"/>
    <w:rsid w:val="00350045"/>
    <w:rsid w:val="003503C8"/>
    <w:rsid w:val="003557C1"/>
    <w:rsid w:val="003718E1"/>
    <w:rsid w:val="00372219"/>
    <w:rsid w:val="003747AC"/>
    <w:rsid w:val="00377C60"/>
    <w:rsid w:val="00380165"/>
    <w:rsid w:val="003922AB"/>
    <w:rsid w:val="0039774E"/>
    <w:rsid w:val="003B1D9A"/>
    <w:rsid w:val="003B5070"/>
    <w:rsid w:val="003B68CB"/>
    <w:rsid w:val="003C0EEB"/>
    <w:rsid w:val="003C4C18"/>
    <w:rsid w:val="003D1D89"/>
    <w:rsid w:val="003E29CE"/>
    <w:rsid w:val="003F44AB"/>
    <w:rsid w:val="003F52F3"/>
    <w:rsid w:val="00441BFC"/>
    <w:rsid w:val="00445C22"/>
    <w:rsid w:val="00467BDE"/>
    <w:rsid w:val="00486A5D"/>
    <w:rsid w:val="00492B15"/>
    <w:rsid w:val="004A3955"/>
    <w:rsid w:val="004B2C02"/>
    <w:rsid w:val="004C39C3"/>
    <w:rsid w:val="004C5C46"/>
    <w:rsid w:val="004C6E40"/>
    <w:rsid w:val="004D1FA4"/>
    <w:rsid w:val="004F6EE0"/>
    <w:rsid w:val="005000A9"/>
    <w:rsid w:val="00506669"/>
    <w:rsid w:val="005202ED"/>
    <w:rsid w:val="0056456D"/>
    <w:rsid w:val="00590988"/>
    <w:rsid w:val="00592F70"/>
    <w:rsid w:val="005C334C"/>
    <w:rsid w:val="005E5961"/>
    <w:rsid w:val="00600ED3"/>
    <w:rsid w:val="0060288E"/>
    <w:rsid w:val="00607BB2"/>
    <w:rsid w:val="00631AB3"/>
    <w:rsid w:val="00641635"/>
    <w:rsid w:val="006662C9"/>
    <w:rsid w:val="00671B34"/>
    <w:rsid w:val="006772EB"/>
    <w:rsid w:val="00681DA3"/>
    <w:rsid w:val="00684592"/>
    <w:rsid w:val="006848AB"/>
    <w:rsid w:val="006862CB"/>
    <w:rsid w:val="00686D11"/>
    <w:rsid w:val="006A4601"/>
    <w:rsid w:val="006B673C"/>
    <w:rsid w:val="006B74EB"/>
    <w:rsid w:val="006C0583"/>
    <w:rsid w:val="006C3980"/>
    <w:rsid w:val="006C4A88"/>
    <w:rsid w:val="006E59B7"/>
    <w:rsid w:val="006F5CEF"/>
    <w:rsid w:val="00716D7C"/>
    <w:rsid w:val="007171AE"/>
    <w:rsid w:val="007306AC"/>
    <w:rsid w:val="00734E47"/>
    <w:rsid w:val="00740120"/>
    <w:rsid w:val="0074215F"/>
    <w:rsid w:val="007556F3"/>
    <w:rsid w:val="00756DEA"/>
    <w:rsid w:val="00767438"/>
    <w:rsid w:val="00777A2D"/>
    <w:rsid w:val="007818F8"/>
    <w:rsid w:val="0078288C"/>
    <w:rsid w:val="007844E9"/>
    <w:rsid w:val="007A7EC9"/>
    <w:rsid w:val="007B5E6E"/>
    <w:rsid w:val="007B6673"/>
    <w:rsid w:val="007B6D94"/>
    <w:rsid w:val="007B7735"/>
    <w:rsid w:val="007C5E9B"/>
    <w:rsid w:val="007F3E4D"/>
    <w:rsid w:val="00800A86"/>
    <w:rsid w:val="00804AD8"/>
    <w:rsid w:val="00805042"/>
    <w:rsid w:val="00817677"/>
    <w:rsid w:val="00822D37"/>
    <w:rsid w:val="00824FE7"/>
    <w:rsid w:val="00845108"/>
    <w:rsid w:val="00850375"/>
    <w:rsid w:val="008510BD"/>
    <w:rsid w:val="00851336"/>
    <w:rsid w:val="00860527"/>
    <w:rsid w:val="00864920"/>
    <w:rsid w:val="00865950"/>
    <w:rsid w:val="00867FA8"/>
    <w:rsid w:val="00871AD7"/>
    <w:rsid w:val="008759F9"/>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56C0B"/>
    <w:rsid w:val="009878FD"/>
    <w:rsid w:val="00990273"/>
    <w:rsid w:val="009A546C"/>
    <w:rsid w:val="009D163E"/>
    <w:rsid w:val="009D40C9"/>
    <w:rsid w:val="009D46FE"/>
    <w:rsid w:val="009E4F3A"/>
    <w:rsid w:val="009F1163"/>
    <w:rsid w:val="00A10C3F"/>
    <w:rsid w:val="00A1126D"/>
    <w:rsid w:val="00A20342"/>
    <w:rsid w:val="00A522F5"/>
    <w:rsid w:val="00A63781"/>
    <w:rsid w:val="00A935F4"/>
    <w:rsid w:val="00A9463E"/>
    <w:rsid w:val="00AB37A7"/>
    <w:rsid w:val="00AB3E9D"/>
    <w:rsid w:val="00AE21FC"/>
    <w:rsid w:val="00AE5E6F"/>
    <w:rsid w:val="00AF6D18"/>
    <w:rsid w:val="00B013FC"/>
    <w:rsid w:val="00B01B09"/>
    <w:rsid w:val="00B22284"/>
    <w:rsid w:val="00B37D8B"/>
    <w:rsid w:val="00B572F1"/>
    <w:rsid w:val="00B631E7"/>
    <w:rsid w:val="00B650F0"/>
    <w:rsid w:val="00B70EDD"/>
    <w:rsid w:val="00B77564"/>
    <w:rsid w:val="00B82409"/>
    <w:rsid w:val="00B828EF"/>
    <w:rsid w:val="00B90BB2"/>
    <w:rsid w:val="00B941D7"/>
    <w:rsid w:val="00B953B8"/>
    <w:rsid w:val="00BB46F8"/>
    <w:rsid w:val="00BC292D"/>
    <w:rsid w:val="00BC42AC"/>
    <w:rsid w:val="00BD3438"/>
    <w:rsid w:val="00BE0D6B"/>
    <w:rsid w:val="00BE22AC"/>
    <w:rsid w:val="00BF325F"/>
    <w:rsid w:val="00C06EB6"/>
    <w:rsid w:val="00C10337"/>
    <w:rsid w:val="00C20330"/>
    <w:rsid w:val="00C26FE0"/>
    <w:rsid w:val="00C435EA"/>
    <w:rsid w:val="00C5271A"/>
    <w:rsid w:val="00C544BA"/>
    <w:rsid w:val="00C9579E"/>
    <w:rsid w:val="00C96D1A"/>
    <w:rsid w:val="00CA4F69"/>
    <w:rsid w:val="00CC4394"/>
    <w:rsid w:val="00CC4E88"/>
    <w:rsid w:val="00CE19D7"/>
    <w:rsid w:val="00CE4726"/>
    <w:rsid w:val="00CF4B85"/>
    <w:rsid w:val="00D10189"/>
    <w:rsid w:val="00D11777"/>
    <w:rsid w:val="00D1533B"/>
    <w:rsid w:val="00D239FF"/>
    <w:rsid w:val="00D53648"/>
    <w:rsid w:val="00D66617"/>
    <w:rsid w:val="00D72C78"/>
    <w:rsid w:val="00D74193"/>
    <w:rsid w:val="00D83288"/>
    <w:rsid w:val="00D859FE"/>
    <w:rsid w:val="00DA212E"/>
    <w:rsid w:val="00DB1609"/>
    <w:rsid w:val="00DB66ED"/>
    <w:rsid w:val="00DF10D4"/>
    <w:rsid w:val="00DF6217"/>
    <w:rsid w:val="00E05511"/>
    <w:rsid w:val="00E2211C"/>
    <w:rsid w:val="00E25A5E"/>
    <w:rsid w:val="00E34F35"/>
    <w:rsid w:val="00E43164"/>
    <w:rsid w:val="00E510B1"/>
    <w:rsid w:val="00E56AA6"/>
    <w:rsid w:val="00E6727E"/>
    <w:rsid w:val="00E72924"/>
    <w:rsid w:val="00E74A8E"/>
    <w:rsid w:val="00E9016C"/>
    <w:rsid w:val="00E92FBE"/>
    <w:rsid w:val="00E95D41"/>
    <w:rsid w:val="00EA132D"/>
    <w:rsid w:val="00EA1A88"/>
    <w:rsid w:val="00ED1405"/>
    <w:rsid w:val="00ED2188"/>
    <w:rsid w:val="00F05E1E"/>
    <w:rsid w:val="00F145A0"/>
    <w:rsid w:val="00F25A49"/>
    <w:rsid w:val="00F4320D"/>
    <w:rsid w:val="00F52C33"/>
    <w:rsid w:val="00F53D64"/>
    <w:rsid w:val="00F63519"/>
    <w:rsid w:val="00FB6704"/>
    <w:rsid w:val="00FC2281"/>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7F1F6"/>
  <w15:chartTrackingRefBased/>
  <w15:docId w15:val="{FAB18834-D3E7-46E1-884A-62E3BCEF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customStyle="1" w:styleId="UnresolvedMention1">
    <w:name w:val="Unresolved Mention1"/>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character" w:styleId="CommentReference">
    <w:name w:val="annotation reference"/>
    <w:basedOn w:val="DefaultParagraphFont"/>
    <w:uiPriority w:val="99"/>
    <w:semiHidden/>
    <w:unhideWhenUsed/>
    <w:locked/>
    <w:rsid w:val="00A10C3F"/>
    <w:rPr>
      <w:sz w:val="16"/>
      <w:szCs w:val="16"/>
    </w:rPr>
  </w:style>
  <w:style w:type="paragraph" w:styleId="CommentText">
    <w:name w:val="annotation text"/>
    <w:basedOn w:val="Normal"/>
    <w:link w:val="CommentTextChar"/>
    <w:uiPriority w:val="99"/>
    <w:unhideWhenUsed/>
    <w:locked/>
    <w:rsid w:val="00A10C3F"/>
    <w:pPr>
      <w:spacing w:line="240" w:lineRule="auto"/>
    </w:pPr>
    <w:rPr>
      <w:sz w:val="20"/>
      <w:szCs w:val="20"/>
    </w:rPr>
  </w:style>
  <w:style w:type="character" w:customStyle="1" w:styleId="CommentTextChar">
    <w:name w:val="Comment Text Char"/>
    <w:basedOn w:val="DefaultParagraphFont"/>
    <w:link w:val="CommentText"/>
    <w:uiPriority w:val="99"/>
    <w:rsid w:val="00A10C3F"/>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A10C3F"/>
    <w:rPr>
      <w:b/>
      <w:bCs/>
    </w:rPr>
  </w:style>
  <w:style w:type="character" w:customStyle="1" w:styleId="CommentSubjectChar">
    <w:name w:val="Comment Subject Char"/>
    <w:basedOn w:val="CommentTextChar"/>
    <w:link w:val="CommentSubject"/>
    <w:uiPriority w:val="99"/>
    <w:semiHidden/>
    <w:rsid w:val="00A10C3F"/>
    <w:rPr>
      <w:rFonts w:ascii="Montserrat Light" w:hAnsi="Montserrat Light"/>
      <w:b/>
      <w:bCs/>
      <w:color w:val="404040" w:themeColor="text1" w:themeTint="BF"/>
      <w:sz w:val="20"/>
      <w:szCs w:val="20"/>
    </w:rPr>
  </w:style>
  <w:style w:type="paragraph" w:styleId="Revision">
    <w:name w:val="Revision"/>
    <w:hidden/>
    <w:uiPriority w:val="99"/>
    <w:semiHidden/>
    <w:rsid w:val="000331D1"/>
    <w:pPr>
      <w:spacing w:after="0" w:line="240" w:lineRule="auto"/>
    </w:pPr>
    <w:rPr>
      <w:rFonts w:ascii="Montserrat Light" w:hAnsi="Montserrat Light"/>
      <w:color w:val="404040" w:themeColor="text1" w:themeTint="BF"/>
    </w:rPr>
  </w:style>
  <w:style w:type="paragraph" w:styleId="FootnoteText">
    <w:name w:val="footnote text"/>
    <w:basedOn w:val="Normal"/>
    <w:link w:val="FootnoteTextChar"/>
    <w:uiPriority w:val="99"/>
    <w:semiHidden/>
    <w:unhideWhenUsed/>
    <w:locked/>
    <w:rsid w:val="006C39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3980"/>
    <w:rPr>
      <w:rFonts w:ascii="Montserrat Light" w:hAnsi="Montserrat Light"/>
      <w:color w:val="404040" w:themeColor="text1" w:themeTint="BF"/>
      <w:sz w:val="20"/>
      <w:szCs w:val="20"/>
    </w:rPr>
  </w:style>
  <w:style w:type="character" w:styleId="FootnoteReference">
    <w:name w:val="footnote reference"/>
    <w:basedOn w:val="DefaultParagraphFont"/>
    <w:uiPriority w:val="99"/>
    <w:semiHidden/>
    <w:unhideWhenUsed/>
    <w:locked/>
    <w:rsid w:val="006C3980"/>
    <w:rPr>
      <w:vertAlign w:val="superscript"/>
    </w:rPr>
  </w:style>
  <w:style w:type="character" w:styleId="FollowedHyperlink">
    <w:name w:val="FollowedHyperlink"/>
    <w:basedOn w:val="DefaultParagraphFont"/>
    <w:uiPriority w:val="99"/>
    <w:semiHidden/>
    <w:unhideWhenUsed/>
    <w:locked/>
    <w:rsid w:val="000F67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92538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euractiv.com/section/agriculture-food/news/commission-considers-reshuffle-of-top-jobs-amid-calls-for-a-food-chie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2C4733BFB547A29DE112D9911DB19E"/>
        <w:category>
          <w:name w:val="General"/>
          <w:gallery w:val="placeholder"/>
        </w:category>
        <w:types>
          <w:type w:val="bbPlcHdr"/>
        </w:types>
        <w:behaviors>
          <w:behavior w:val="content"/>
        </w:behaviors>
        <w:guid w:val="{977C63AE-1FA8-439D-B183-822DEC46B7BD}"/>
      </w:docPartPr>
      <w:docPartBody>
        <w:p w:rsidR="009C4AAD" w:rsidRDefault="009C4AAD">
          <w:pPr>
            <w:pStyle w:val="5A2C4733BFB547A29DE112D9911DB19E"/>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AAD"/>
    <w:rsid w:val="00492D2F"/>
    <w:rsid w:val="005A4636"/>
    <w:rsid w:val="006753FB"/>
    <w:rsid w:val="009C4AAD"/>
    <w:rsid w:val="00F91978"/>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A2C4733BFB547A29DE112D9911DB19E">
    <w:name w:val="5A2C4733BFB547A29DE112D9911DB1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C6252D-EB5A-4EF5-89F1-343AF9921451}">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D540DE59-BC9C-49FA-ABFF-07040CF85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1167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Rosario Gonzalez</cp:lastModifiedBy>
  <cp:revision>3</cp:revision>
  <cp:lastPrinted>2023-12-05T10:34:00Z</cp:lastPrinted>
  <dcterms:created xsi:type="dcterms:W3CDTF">2023-12-08T16:03:00Z</dcterms:created>
  <dcterms:modified xsi:type="dcterms:W3CDTF">2023-12-08T16:04:00Z</dcterms:modified>
</cp:coreProperties>
</file>

<file path=docProps/custom.xml><?xml version="1.0" encoding="utf-8"?>
<op:Properties xmlns:vt="http://schemas.openxmlformats.org/officeDocument/2006/docPropsVTypes" xmlns:op="http://schemas.openxmlformats.org/officeDocument/2006/custom-properties"/>
</file>