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F21F0" w14:textId="77777777" w:rsidR="00D72C78" w:rsidRDefault="00D72C78" w:rsidP="00990273">
      <w:pPr>
        <w:jc w:val="right"/>
      </w:pPr>
      <w:bookmarkStart w:id="0" w:name="_Hlk152668140"/>
    </w:p>
    <w:p w14:paraId="6733158D" w14:textId="1A8F4C76" w:rsidR="006848AB" w:rsidRPr="00B90032" w:rsidRDefault="00767438" w:rsidP="00441BFC">
      <w:pPr>
        <w:spacing w:after="0"/>
        <w:rPr>
          <w:rFonts w:ascii="Montserrat" w:hAnsi="Montserrat"/>
          <w:lang w:val="en-US"/>
        </w:rPr>
      </w:pPr>
      <w:proofErr w:type="spellStart"/>
      <w:r w:rsidRPr="00B90032">
        <w:rPr>
          <w:rStyle w:val="CCNormal"/>
          <w:lang w:val="en-US"/>
        </w:rPr>
        <w:t>Znak</w:t>
      </w:r>
      <w:proofErr w:type="spellEnd"/>
      <w:r w:rsidRPr="00B90032">
        <w:rPr>
          <w:lang w:val="en-US"/>
        </w:rPr>
        <w:t xml:space="preserve"> </w:t>
      </w:r>
      <w:r w:rsidRPr="00B90032">
        <w:rPr>
          <w:rFonts w:ascii="Montserrat" w:hAnsi="Montserrat"/>
          <w:lang w:val="en-US"/>
        </w:rPr>
        <w:t>COMM(23)05506</w:t>
      </w:r>
      <w:r w:rsidRPr="00B90032">
        <w:rPr>
          <w:rFonts w:ascii="Montserrat" w:hAnsi="Montserrat"/>
          <w:lang w:val="en-US"/>
        </w:rPr>
        <w:tab/>
      </w:r>
      <w:r w:rsidRPr="00B90032">
        <w:rPr>
          <w:rFonts w:ascii="Montserrat" w:hAnsi="Montserrat"/>
          <w:lang w:val="en-US"/>
        </w:rPr>
        <w:tab/>
      </w:r>
    </w:p>
    <w:p w14:paraId="6D5F3FCA" w14:textId="77777777" w:rsidR="006848AB" w:rsidRPr="00B90032" w:rsidRDefault="006848AB" w:rsidP="00441BFC">
      <w:pPr>
        <w:spacing w:after="0"/>
        <w:rPr>
          <w:rFonts w:ascii="Montserrat" w:hAnsi="Montserrat"/>
          <w:lang w:val="en-US"/>
        </w:rPr>
      </w:pPr>
    </w:p>
    <w:p w14:paraId="09A2C48F" w14:textId="3E3609B9" w:rsidR="000356F5" w:rsidRPr="00B90032" w:rsidRDefault="006848AB" w:rsidP="00441BFC">
      <w:pPr>
        <w:spacing w:after="0"/>
        <w:rPr>
          <w:rFonts w:ascii="Montserrat" w:hAnsi="Montserrat"/>
          <w:lang w:val="en-US"/>
        </w:rPr>
      </w:pPr>
      <w:r w:rsidRPr="00B90032">
        <w:rPr>
          <w:rFonts w:ascii="Montserrat" w:hAnsi="Montserrat"/>
          <w:lang w:val="en-US"/>
        </w:rPr>
        <w:t>05</w:t>
      </w:r>
      <w:r w:rsidRPr="00B90032">
        <w:rPr>
          <w:rStyle w:val="CCNormal"/>
          <w:lang w:val="en-US"/>
        </w:rPr>
        <w:t>.12.2023 r.</w:t>
      </w:r>
    </w:p>
    <w:p w14:paraId="14993FF4" w14:textId="77777777" w:rsidR="006848AB" w:rsidRPr="00492B15" w:rsidRDefault="006848AB" w:rsidP="00B22284">
      <w:pPr>
        <w:rPr>
          <w:rStyle w:val="CCType"/>
          <w:lang w:val="en-GB"/>
        </w:rPr>
      </w:pPr>
    </w:p>
    <w:p w14:paraId="0B827810" w14:textId="6E2F2BB4" w:rsidR="00E56AA6" w:rsidRPr="00B90032" w:rsidRDefault="00BF325F" w:rsidP="0008105D">
      <w:pPr>
        <w:rPr>
          <w:rStyle w:val="CCType"/>
          <w:lang w:val="en-US"/>
        </w:rPr>
      </w:pPr>
      <w:proofErr w:type="spellStart"/>
      <w:r w:rsidRPr="00B90032">
        <w:rPr>
          <w:rStyle w:val="CCType"/>
          <w:lang w:val="en-US"/>
        </w:rPr>
        <w:t>Felieton</w:t>
      </w:r>
      <w:proofErr w:type="spellEnd"/>
    </w:p>
    <w:p w14:paraId="11C53062" w14:textId="33ABA195" w:rsidR="00E56AA6" w:rsidRPr="00B90032" w:rsidRDefault="00BF325F" w:rsidP="0008105D">
      <w:pPr>
        <w:rPr>
          <w:rStyle w:val="CCTitle"/>
          <w:sz w:val="32"/>
          <w:lang w:val="pl-PL"/>
        </w:rPr>
      </w:pPr>
      <w:r w:rsidRPr="00B90032">
        <w:rPr>
          <w:rStyle w:val="CCTitle"/>
          <w:sz w:val="32"/>
          <w:lang w:val="en-US"/>
        </w:rPr>
        <w:t xml:space="preserve">DG ds. </w:t>
      </w:r>
      <w:r w:rsidRPr="00B90032">
        <w:rPr>
          <w:rStyle w:val="CCTitle"/>
          <w:sz w:val="32"/>
          <w:lang w:val="pl-PL"/>
        </w:rPr>
        <w:t>Żywności w Komisji? Błędna reakcja na prawdziwy problem polityczny!</w:t>
      </w:r>
    </w:p>
    <w:p w14:paraId="0C14FFC5" w14:textId="719928EC" w:rsidR="003922AB" w:rsidRPr="00B90032" w:rsidRDefault="006848AB" w:rsidP="0008105D">
      <w:pPr>
        <w:rPr>
          <w:rStyle w:val="CCNormal"/>
          <w:sz w:val="20"/>
          <w:szCs w:val="20"/>
          <w:lang w:val="pl-PL"/>
        </w:rPr>
      </w:pPr>
      <w:r w:rsidRPr="00B90032">
        <w:rPr>
          <w:rStyle w:val="CCNormal"/>
          <w:sz w:val="20"/>
          <w:szCs w:val="20"/>
          <w:lang w:val="pl-PL"/>
        </w:rPr>
        <w:t xml:space="preserve">Kampania przed Eurowyborami jeszcze nawet się nie zaczęła, a po Brukseli już krążą pomysły na kolejną kadencję. </w:t>
      </w:r>
      <w:r w:rsidRPr="00B90032">
        <w:rPr>
          <w:rStyle w:val="CCNormal"/>
          <w:sz w:val="20"/>
          <w:lang w:val="pl-PL"/>
        </w:rPr>
        <w:t>Na pierwszy rzut oka plan stworzenia szerokiej DG ds. Żywności, która zastąpiłaby DG ds. Rolnictwa i przejęła kompetencje innych części Komisji</w:t>
      </w:r>
      <w:r w:rsidR="00B90BB2" w:rsidRPr="00B90032">
        <w:rPr>
          <w:rStyle w:val="CCNormal"/>
          <w:sz w:val="20"/>
          <w:vertAlign w:val="superscript"/>
        </w:rPr>
        <w:footnoteReference w:id="1"/>
      </w:r>
      <w:r w:rsidRPr="00B90032">
        <w:rPr>
          <w:rStyle w:val="CCNormal"/>
          <w:sz w:val="20"/>
          <w:lang w:val="pl-PL"/>
        </w:rPr>
        <w:t xml:space="preserve"> niektórym wydaje się atrakcyjny.</w:t>
      </w:r>
      <w:r w:rsidRPr="00B90032">
        <w:rPr>
          <w:rStyle w:val="CCNormal"/>
          <w:sz w:val="20"/>
          <w:szCs w:val="20"/>
          <w:lang w:val="pl-PL"/>
        </w:rPr>
        <w:t xml:space="preserve"> Ich zdaniem strategia „od pola do stołu” nie była przekonująca, gdyż związane z nią kompetencje w UE były zbyt rozproszone, podczas gdy w strategii ds. rolnictwa znalazła się globalna wizja przyszłej transformacji. Z tego punktu widzenia stworzenie DG ds. Żywności byłoby instytucjonalną odpowiedzią, gromadzącą wszystkich na mostku kapitańskim, ułatwiającą proces podejmowania decyzji i rozciągnięcie agendy „od pola do stołu” na kolejną kadencję.</w:t>
      </w:r>
    </w:p>
    <w:p w14:paraId="5C629A09" w14:textId="4B4FFF9F" w:rsidR="00BF325F" w:rsidRPr="00B90032" w:rsidRDefault="003922AB" w:rsidP="0008105D">
      <w:pPr>
        <w:rPr>
          <w:rStyle w:val="CCNormal"/>
          <w:sz w:val="20"/>
          <w:szCs w:val="20"/>
          <w:lang w:val="pl-PL"/>
        </w:rPr>
      </w:pPr>
      <w:r w:rsidRPr="00B90032">
        <w:rPr>
          <w:rStyle w:val="CCNormal"/>
          <w:sz w:val="20"/>
          <w:szCs w:val="20"/>
          <w:lang w:val="pl-PL"/>
        </w:rPr>
        <w:t>Czy byłaby to tylko kosmetyczna zmiana nazwy czy całkowita zmiana kursu politycznego? Przyznajmy jasno: stworzenie DG ds. Żywności byłoby kiepską i nadmiernie uproszczoną reakcją na prawdziwy i złożony problem polityczny, jakim jest przyszłość rolnictwa w ramach europejskiego projektu. Na dzień dzisiejszy mamy wiele argumentów przeciwko temu projektowi, który jest czymś więcej niż debatą semantyczną czy zwykłą administracyjną reorganizacją.</w:t>
      </w:r>
    </w:p>
    <w:p w14:paraId="73B9E082" w14:textId="141E664F" w:rsidR="00BF325F" w:rsidRPr="00B90032" w:rsidRDefault="00BF325F" w:rsidP="0008105D">
      <w:pPr>
        <w:rPr>
          <w:rStyle w:val="CCNormal"/>
          <w:sz w:val="20"/>
          <w:szCs w:val="20"/>
          <w:lang w:val="pl-PL"/>
        </w:rPr>
      </w:pPr>
      <w:r w:rsidRPr="00B90032">
        <w:rPr>
          <w:rStyle w:val="CCNormal"/>
          <w:sz w:val="20"/>
          <w:szCs w:val="20"/>
          <w:lang w:val="pl-PL"/>
        </w:rPr>
        <w:t>Kto naciska aktualnie na stworzenie DG ds. Żywności? W niedawnych artykułach pojawiają się dwie grupy: z jednej strony brukselskie NGO, od stowarzyszeń konsumentów po grupy prośrodowiskowe, a z drugiej, wielonarodowe przedsiębiorstwa żywnościowe reprezentowane przez swoje europejskie organizacje, jak FoodDrinkEurope. Co za nietypowy sojusz! Mimo że padają różne powody, wszystkie te podmioty chcą narzucić odgórne podejście do zmian niezbędnych w rolnictwie. Ale przecież to ta sama ideologia doprowadziła do upadku strategii „od pola do stołu” - wyciągnięte z kapelusza cele oderwane od realiów panujących w terenie.</w:t>
      </w:r>
    </w:p>
    <w:p w14:paraId="7E6CF96C" w14:textId="71A8723B" w:rsidR="00BF325F" w:rsidRPr="00B90032" w:rsidRDefault="00BF325F" w:rsidP="0008105D">
      <w:pPr>
        <w:rPr>
          <w:rStyle w:val="CCNormal"/>
          <w:sz w:val="20"/>
          <w:szCs w:val="20"/>
          <w:lang w:val="pl-PL"/>
        </w:rPr>
      </w:pPr>
      <w:r w:rsidRPr="00B90032">
        <w:rPr>
          <w:rStyle w:val="CCNormal"/>
          <w:sz w:val="20"/>
          <w:szCs w:val="20"/>
          <w:lang w:val="pl-PL"/>
        </w:rPr>
        <w:t xml:space="preserve">Pomysł na stworzenie DG ds. Żywności jest tak typowy dla jego orędowników, że całkowicie pomija się w nim pewną ważną kwestię - polityka rolna nie ogranicza się wyłącznie do żywności. </w:t>
      </w:r>
      <w:r w:rsidRPr="00B90032">
        <w:rPr>
          <w:rStyle w:val="CCNormal"/>
          <w:sz w:val="20"/>
          <w:lang w:val="pl-PL"/>
        </w:rPr>
        <w:t xml:space="preserve">Rolnicy i spółdzielnie rolnicze nie tylko są w centrum życia obszarów wiejskich, na co wskazano w konkluzjach Rady w sprawie długoterminowej wizji dla obszarów </w:t>
      </w:r>
      <w:r w:rsidRPr="00B90032">
        <w:rPr>
          <w:rStyle w:val="CCNormal"/>
          <w:sz w:val="20"/>
          <w:lang w:val="pl-PL"/>
        </w:rPr>
        <w:lastRenderedPageBreak/>
        <w:t>wiejskich</w:t>
      </w:r>
      <w:r w:rsidR="00DB66ED" w:rsidRPr="00B90032">
        <w:rPr>
          <w:rStyle w:val="CCNormal"/>
          <w:sz w:val="20"/>
          <w:vertAlign w:val="superscript"/>
        </w:rPr>
        <w:footnoteReference w:id="2"/>
      </w:r>
      <w:r w:rsidRPr="00B90032">
        <w:rPr>
          <w:rStyle w:val="CCNormal"/>
          <w:sz w:val="20"/>
          <w:lang w:val="pl-PL"/>
        </w:rPr>
        <w:t>, lecz również wytwarzają ekologiczną energię, materiały pochodzenia biologicznego, pasze i współprodukty, jak nawozy, utrzymując tysiące miejsc pracy na obszarach wiejskich.</w:t>
      </w:r>
      <w:r w:rsidRPr="00B90032">
        <w:rPr>
          <w:rStyle w:val="CCNormal"/>
          <w:sz w:val="20"/>
          <w:szCs w:val="20"/>
          <w:lang w:val="pl-PL"/>
        </w:rPr>
        <w:t xml:space="preserve"> Nie wspominając nawet o innych kluczowych sektorach, jak leśnictwo, ściśle powiązanych z rolnictwem. </w:t>
      </w:r>
      <w:r w:rsidRPr="00B90032">
        <w:rPr>
          <w:rStyle w:val="CCNormal"/>
          <w:sz w:val="20"/>
          <w:lang w:val="pl-PL"/>
        </w:rPr>
        <w:t>Niektóre z wyznaczonych dla rolnictwa celów mają strategiczne znaczenie dla UE - nie zapominajmy, że na początku rosyjskiej inwazji na Ukrainę w planie REPowerEU</w:t>
      </w:r>
      <w:bookmarkStart w:id="2" w:name="_GoBack"/>
      <w:r w:rsidR="006C3980" w:rsidRPr="00B90032">
        <w:rPr>
          <w:rStyle w:val="CCNormal"/>
          <w:sz w:val="20"/>
          <w:vertAlign w:val="superscript"/>
        </w:rPr>
        <w:footnoteReference w:id="3"/>
      </w:r>
      <w:bookmarkEnd w:id="2"/>
      <w:r w:rsidRPr="00B90032">
        <w:rPr>
          <w:rStyle w:val="CCNormal"/>
          <w:sz w:val="20"/>
          <w:lang w:val="pl-PL"/>
        </w:rPr>
        <w:t xml:space="preserve"> wezwano do drastycznego zwiększenia produkcji biogazu do roku 2030.</w:t>
      </w:r>
      <w:r w:rsidRPr="00B90032">
        <w:rPr>
          <w:rStyle w:val="CCNormal"/>
          <w:sz w:val="20"/>
          <w:szCs w:val="20"/>
          <w:lang w:val="pl-PL"/>
        </w:rPr>
        <w:t xml:space="preserve"> A biogaz jest głównie produktem... rolnym!</w:t>
      </w:r>
    </w:p>
    <w:p w14:paraId="60F757D4" w14:textId="2FF30EDE" w:rsidR="00BF325F" w:rsidRPr="00B90032" w:rsidRDefault="00BF325F" w:rsidP="0008105D">
      <w:pPr>
        <w:rPr>
          <w:rStyle w:val="CCNormal"/>
          <w:sz w:val="20"/>
          <w:szCs w:val="20"/>
          <w:lang w:val="pl-PL"/>
        </w:rPr>
      </w:pPr>
      <w:r w:rsidRPr="00B90032">
        <w:rPr>
          <w:rStyle w:val="CCNormal"/>
          <w:sz w:val="20"/>
          <w:szCs w:val="20"/>
          <w:lang w:val="pl-PL"/>
        </w:rPr>
        <w:t>DG ds. Żywności zawęziłaby więc, zamiast poszerzyć, perspektywę rolną. Objęłaby dodatkowo wyższe ogniwa łańcucha rolno-spożywczego - przemysł wyższego szczebla, oszczędzony przez strategię „od pola do stołu”, który jednak może skorzystać na transformacji podjętej przez rolników. Z naszych doświadczeń wynika, że za każdym razem, gdy eksperymentowano z DG ds. Żywności to właśnie rolnicy byli marginalizowani, robiąc więcej miejsca dla rozkawczyków. Dokładnie te zasady będą nadawać kurs europejskiej polityce handlowej - albo zgodzisz się na transformację, jakiej żądamy, albo... będziemy importować. Ograniczymy ślad środowiskowy europejskiego rolnictwa, a Bruksela będzie mogła sobie pogratulować, ale jakim kosztem? Zwiększenia importu.</w:t>
      </w:r>
    </w:p>
    <w:p w14:paraId="61BE0F80" w14:textId="2202A4E2" w:rsidR="00BF325F" w:rsidRPr="00B90032" w:rsidRDefault="00BF325F" w:rsidP="00BF325F">
      <w:pPr>
        <w:rPr>
          <w:rStyle w:val="CCNormal"/>
          <w:sz w:val="20"/>
          <w:szCs w:val="20"/>
          <w:lang w:val="pl-PL"/>
        </w:rPr>
      </w:pPr>
      <w:r w:rsidRPr="00B90032">
        <w:rPr>
          <w:rStyle w:val="CCNormal"/>
          <w:sz w:val="20"/>
          <w:szCs w:val="20"/>
          <w:lang w:val="pl-PL"/>
        </w:rPr>
        <w:t>W końcu zadajmy sobie właściwe pytanie: czy stworzenie DG ds. Żywności rozwiąże najważniejsze niedociągnięcia strategii „od pola do stołu”? Nie. Czy zostanie zrealizowana ogólna ocena skutków polityk dotyczących rolnictwa proponowanych w ramach Zielonego Ładu? Najprawdopodobniej nie. Czy gdy pałeczkę przejmie DG ds. Żywności pojawi się finansowanie dla tych inicjatyw? Absolutnie nie. Czy wnioski publikowane przez DG ds. Żywności będą bardziej zbliżone do realiów panujących w terenie? Jest to jeszcze mniej pewne. Czy DG ds. Żywności rozwiąże problem niedostosowania unijnej polityki handlowej i wymagań wynikających ze strategii „od pola do stołu”? Odpowiedź znowu brzmi nie. Tak właśnie możemy rozumieć zastrzeżenia pewnych unijnych komisarzy.</w:t>
      </w:r>
    </w:p>
    <w:p w14:paraId="4BD6C872" w14:textId="77777777" w:rsidR="00D11777" w:rsidRPr="00B90032" w:rsidRDefault="00BF325F" w:rsidP="001A4973">
      <w:pPr>
        <w:rPr>
          <w:rStyle w:val="CCNormal"/>
          <w:sz w:val="20"/>
          <w:szCs w:val="20"/>
          <w:lang w:val="pl-PL"/>
        </w:rPr>
      </w:pPr>
      <w:r w:rsidRPr="00B90032">
        <w:rPr>
          <w:rStyle w:val="CCNormal"/>
          <w:sz w:val="20"/>
          <w:szCs w:val="20"/>
          <w:lang w:val="pl-PL"/>
        </w:rPr>
        <w:t xml:space="preserve">Orędownicy DG ds. Żywności na pewno powiedzą, byśmy sami coś zaproponowali, bo łatwo jest krytykować. Oto nasze propozycje: W aktualnym kontekście geopolitycznym, który zagraża naszemu bezpieczeństwu żywnościowemu, trzeba bardziej niż kiedykolwiek wcześniej wspierać producentów i zagwarantować zastępowalność pokoleń. Możliwe przyjęcie nowych państw członkowskich i włączenie ich do wspólnego rynku jest dodatkowym dowodem na to, że UE potrzebuje więcej rolnictwa, a nie mniej. </w:t>
      </w:r>
    </w:p>
    <w:p w14:paraId="2D93D38C" w14:textId="09D489D8" w:rsidR="004B2C02" w:rsidRPr="00B90032" w:rsidRDefault="00BF325F" w:rsidP="003718E1">
      <w:pPr>
        <w:rPr>
          <w:rStyle w:val="CCNormal"/>
          <w:sz w:val="20"/>
          <w:szCs w:val="20"/>
          <w:lang w:val="pl-PL"/>
        </w:rPr>
      </w:pPr>
      <w:r w:rsidRPr="00B90032">
        <w:rPr>
          <w:rStyle w:val="CCNormal"/>
          <w:sz w:val="20"/>
          <w:szCs w:val="20"/>
          <w:lang w:val="pl-PL"/>
        </w:rPr>
        <w:t xml:space="preserve">By do tego doprowadzić potrzebujemy silnego przedstawiciela w kolegium komisarzy - komisarz ds. rolnictwa i obszarów wiejskich podczas transformacji powinien pełnić funkcję wiceprzewodniczącego. </w:t>
      </w:r>
      <w:r w:rsidRPr="00B90032">
        <w:rPr>
          <w:rStyle w:val="CCNormal"/>
          <w:sz w:val="20"/>
          <w:lang w:val="pl-PL"/>
        </w:rPr>
        <w:t xml:space="preserve">Wiceprzewodniczący mógłby zagwarantować spójność polityk wpływających na społeczność rolną i upewnić się, że rolnictwo może przyczynić się do transformacji, nie zapominając o nikim i wspierając jak najwięcej rolników. </w:t>
      </w:r>
      <w:r w:rsidRPr="00B90032">
        <w:rPr>
          <w:rStyle w:val="CCNormal"/>
          <w:sz w:val="20"/>
          <w:szCs w:val="20"/>
          <w:lang w:val="pl-PL"/>
        </w:rPr>
        <w:t xml:space="preserve">By nie dopuścić do dalszego rozłamu między rolnikami a Komisją, proponujemy wzmocnienie grup dialogu obywatelskiego, które są niezbędnym forum dialogu i debaty między rolnikami, mieszkańcami obszarów wiejskich, organizacjami pozarządowymi i urzędnikami z Komisji. </w:t>
      </w:r>
    </w:p>
    <w:p w14:paraId="234B19CF" w14:textId="0DF93C88" w:rsidR="003718E1" w:rsidRPr="00B90032" w:rsidRDefault="00AE21FC" w:rsidP="003718E1">
      <w:pPr>
        <w:rPr>
          <w:rStyle w:val="CCNormal"/>
          <w:sz w:val="20"/>
          <w:szCs w:val="20"/>
          <w:lang w:val="pl-PL"/>
        </w:rPr>
      </w:pPr>
      <w:r w:rsidRPr="00B90032">
        <w:rPr>
          <w:rStyle w:val="CCNormal"/>
          <w:sz w:val="20"/>
          <w:szCs w:val="20"/>
          <w:lang w:val="pl-PL"/>
        </w:rPr>
        <w:lastRenderedPageBreak/>
        <w:t>Przestańmy w końcu wywarzać otwarte (administracyjne) drzwi i skupmy się na treści przyszłego strategicznego dialogu, do którego wezwała przewodnicząca Komisji Ursula von der Leyen.</w:t>
      </w:r>
    </w:p>
    <w:p w14:paraId="3BC9F6F9" w14:textId="77777777" w:rsidR="00740120" w:rsidRPr="00B90032" w:rsidRDefault="00740120" w:rsidP="00740120">
      <w:pPr>
        <w:spacing w:line="264" w:lineRule="auto"/>
        <w:rPr>
          <w:rStyle w:val="CCNormal"/>
          <w:b/>
          <w:bCs/>
          <w:i/>
          <w:iCs/>
          <w:sz w:val="20"/>
          <w:szCs w:val="20"/>
          <w:lang w:val="pl-PL"/>
        </w:rPr>
      </w:pPr>
      <w:r w:rsidRPr="00B90032">
        <w:rPr>
          <w:rStyle w:val="CCNormal"/>
          <w:b/>
          <w:bCs/>
          <w:i/>
          <w:iCs/>
          <w:sz w:val="20"/>
          <w:szCs w:val="20"/>
          <w:lang w:val="pl-PL"/>
        </w:rPr>
        <w:t xml:space="preserve">Christiane Lambert, przewodnicząca Copa i Ramón Armengol, przewodniczący Cogeca. </w:t>
      </w:r>
    </w:p>
    <w:p w14:paraId="55C32E09" w14:textId="77777777" w:rsidR="00740120" w:rsidRPr="00B90032" w:rsidRDefault="00740120" w:rsidP="003718E1">
      <w:pPr>
        <w:rPr>
          <w:rStyle w:val="CCNormal"/>
          <w:sz w:val="20"/>
          <w:szCs w:val="20"/>
          <w:lang w:val="pl-PL"/>
        </w:rPr>
      </w:pPr>
    </w:p>
    <w:p w14:paraId="156AD6E4" w14:textId="77777777" w:rsidR="00EA1A88" w:rsidRPr="00B90032" w:rsidRDefault="00EA1A88" w:rsidP="003718E1">
      <w:pPr>
        <w:rPr>
          <w:rStyle w:val="CCNormal"/>
          <w:sz w:val="20"/>
          <w:szCs w:val="20"/>
          <w:lang w:val="pl-PL"/>
        </w:rPr>
      </w:pPr>
    </w:p>
    <w:p w14:paraId="73EC6A0D" w14:textId="6B6FA72E" w:rsidR="00EA1A88" w:rsidRPr="00B90032" w:rsidRDefault="00B90032" w:rsidP="00244682">
      <w:pPr>
        <w:rPr>
          <w:lang w:val="pl-PL"/>
        </w:rPr>
      </w:pPr>
      <w:sdt>
        <w:sdtPr>
          <w:rPr>
            <w:rFonts w:ascii="Montserrat" w:hAnsi="Montserrat"/>
            <w:b/>
            <w:bCs/>
            <w:color w:val="697331"/>
            <w:sz w:val="28"/>
            <w:szCs w:val="28"/>
          </w:rPr>
          <w:id w:val="636535682"/>
          <w:placeholder>
            <w:docPart w:val="5A2C4733BFB547A29DE112D9911DB19E"/>
          </w:placeholder>
          <w:temporary/>
        </w:sdtPr>
        <w:sdtEndPr/>
        <w:sdtContent>
          <w:r w:rsidR="009D5462" w:rsidRPr="00B90032">
            <w:rPr>
              <w:rFonts w:ascii="Montserrat" w:hAnsi="Montserrat"/>
              <w:b/>
              <w:bCs/>
              <w:color w:val="697331"/>
              <w:sz w:val="28"/>
              <w:szCs w:val="28"/>
              <w:lang w:val="pl-PL"/>
            </w:rPr>
            <w:t>-KONIEC-</w:t>
          </w:r>
        </w:sdtContent>
      </w:sdt>
      <w:r w:rsidR="009D5462" w:rsidRPr="00B90032">
        <w:rPr>
          <w:rFonts w:ascii="Montserrat" w:hAnsi="Montserrat"/>
          <w:b/>
          <w:bCs/>
          <w:color w:val="697331"/>
          <w:sz w:val="28"/>
          <w:szCs w:val="28"/>
          <w:lang w:val="pl-PL"/>
        </w:rPr>
        <w:t xml:space="preserve"> </w:t>
      </w:r>
    </w:p>
    <w:p w14:paraId="30F1F804" w14:textId="24CE5FA3" w:rsidR="000356F5" w:rsidRPr="00B90032" w:rsidRDefault="000356F5" w:rsidP="00DF6217">
      <w:pPr>
        <w:pStyle w:val="CCDocBody"/>
        <w:rPr>
          <w:rFonts w:ascii="Montserrat" w:hAnsi="Montserrat"/>
          <w:color w:val="3A3838"/>
          <w:sz w:val="20"/>
          <w:szCs w:val="20"/>
          <w:lang w:val="pl-PL"/>
        </w:rPr>
      </w:pPr>
      <w:r w:rsidRPr="00B90032">
        <w:rPr>
          <w:rFonts w:ascii="Montserrat" w:hAnsi="Montserrat"/>
          <w:color w:val="3A3838"/>
          <w:sz w:val="20"/>
          <w:szCs w:val="20"/>
          <w:lang w:val="pl-PL"/>
        </w:rPr>
        <w:t xml:space="preserve">Tłumaczenie dostępne będzie już niedługo na stronie Copa-Cogeca w językach angielskim, niemieckim, hiszpańskim, francuskim, włoskim i rumuńskim. </w:t>
      </w:r>
    </w:p>
    <w:p w14:paraId="4DC482F9" w14:textId="77777777" w:rsidR="00E6727E" w:rsidRPr="00135F43" w:rsidRDefault="00E6727E" w:rsidP="00DF6217">
      <w:pPr>
        <w:pStyle w:val="CCDocBody"/>
        <w:rPr>
          <w:sz w:val="20"/>
          <w:szCs w:val="20"/>
        </w:rPr>
      </w:pPr>
      <w:r w:rsidRPr="00B90032">
        <w:rPr>
          <w:rStyle w:val="CCNormal"/>
          <w:sz w:val="20"/>
          <w:szCs w:val="20"/>
          <w:lang w:val="pl-PL"/>
        </w:rPr>
        <w:t xml:space="preserve">O nas - Copa i Cogeca to zjednoczony głos rolników i spółdzielni rolniczych w UE. Wspólnie dbamy o to, aby rolnictwo europejskie było zrównoważone, innowacyjne i konkurencyjne, gwarantując bezpieczeństwo żywnościowe 500 milionom osób w Europie. </w:t>
      </w:r>
      <w:r>
        <w:rPr>
          <w:rStyle w:val="CCNormal"/>
          <w:sz w:val="20"/>
          <w:szCs w:val="20"/>
        </w:rPr>
        <w:t xml:space="preserve">&gt;&gt;&gt; </w:t>
      </w:r>
      <w:proofErr w:type="spellStart"/>
      <w:r>
        <w:rPr>
          <w:rStyle w:val="CCNormal"/>
          <w:sz w:val="20"/>
          <w:szCs w:val="20"/>
        </w:rPr>
        <w:t>Więcej</w:t>
      </w:r>
      <w:proofErr w:type="spellEnd"/>
      <w:r>
        <w:rPr>
          <w:rStyle w:val="CCNormal"/>
          <w:sz w:val="20"/>
          <w:szCs w:val="20"/>
        </w:rPr>
        <w:t xml:space="preserve"> </w:t>
      </w:r>
      <w:proofErr w:type="spellStart"/>
      <w:r>
        <w:rPr>
          <w:rStyle w:val="CCNormal"/>
          <w:sz w:val="20"/>
          <w:szCs w:val="20"/>
        </w:rPr>
        <w:t>informacji</w:t>
      </w:r>
      <w:proofErr w:type="spellEnd"/>
      <w:r>
        <w:rPr>
          <w:rStyle w:val="CCNormal"/>
          <w:sz w:val="20"/>
          <w:szCs w:val="20"/>
        </w:rPr>
        <w:t xml:space="preserve"> na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5A2C4733BFB547A29DE112D9911DB19E"/>
        </w:placeholder>
      </w:sdtPr>
      <w:sdtEndPr/>
      <w:sdtContent>
        <w:p w14:paraId="06E17C47"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fr-BE"/>
            </w:rPr>
            <mc:AlternateContent>
              <mc:Choice Requires="wps">
                <w:drawing>
                  <wp:anchor distT="0" distB="0" distL="114300" distR="114300" simplePos="0" relativeHeight="251659264" behindDoc="0" locked="0" layoutInCell="1" allowOverlap="1" wp14:anchorId="593D05B5" wp14:editId="1510E306">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9C8DD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A2C4733BFB547A29DE112D9911DB19E"/>
        </w:placeholder>
        <w:temporary/>
      </w:sdtPr>
      <w:sdtEndPr>
        <w:rPr>
          <w:rStyle w:val="CCNormal"/>
        </w:rPr>
      </w:sdtEndPr>
      <w:sdtContent>
        <w:p w14:paraId="13695FE6"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proofErr w:type="spellStart"/>
          <w:r>
            <w:rPr>
              <w:rStyle w:val="CCNormal"/>
              <w:sz w:val="20"/>
              <w:szCs w:val="20"/>
            </w:rPr>
            <w:t>Dalszych</w:t>
          </w:r>
          <w:proofErr w:type="spellEnd"/>
          <w:r>
            <w:rPr>
              <w:rStyle w:val="CCNormal"/>
              <w:sz w:val="20"/>
              <w:szCs w:val="20"/>
            </w:rPr>
            <w:t xml:space="preserve"> </w:t>
          </w:r>
          <w:proofErr w:type="spellStart"/>
          <w:r>
            <w:rPr>
              <w:rStyle w:val="CCNormal"/>
              <w:sz w:val="20"/>
              <w:szCs w:val="20"/>
            </w:rPr>
            <w:t>informacji</w:t>
          </w:r>
          <w:proofErr w:type="spellEnd"/>
          <w:r>
            <w:rPr>
              <w:rStyle w:val="CCNormal"/>
              <w:sz w:val="20"/>
              <w:szCs w:val="20"/>
            </w:rPr>
            <w:t xml:space="preserve"> </w:t>
          </w:r>
          <w:proofErr w:type="spellStart"/>
          <w:r>
            <w:rPr>
              <w:rStyle w:val="CCNormal"/>
              <w:sz w:val="20"/>
              <w:szCs w:val="20"/>
            </w:rPr>
            <w:t>udzielają</w:t>
          </w:r>
          <w:proofErr w:type="spellEnd"/>
          <w:r>
            <w:rPr>
              <w:rStyle w:val="CCNormal"/>
              <w:sz w:val="20"/>
              <w:szCs w:val="20"/>
            </w:rPr>
            <w:t>:</w:t>
          </w:r>
        </w:p>
      </w:sdtContent>
    </w:sdt>
    <w:tbl>
      <w:tblPr>
        <w:tblW w:w="0" w:type="auto"/>
        <w:tblLook w:val="04A0" w:firstRow="1" w:lastRow="0" w:firstColumn="1" w:lastColumn="0" w:noHBand="0" w:noVBand="1"/>
      </w:tblPr>
      <w:tblGrid>
        <w:gridCol w:w="4253"/>
        <w:gridCol w:w="4763"/>
      </w:tblGrid>
      <w:tr w:rsidR="00E6727E" w:rsidRPr="00B90032" w14:paraId="24BD05EB" w14:textId="77777777" w:rsidTr="00716D7C">
        <w:tc>
          <w:tcPr>
            <w:tcW w:w="4253" w:type="dxa"/>
          </w:tcPr>
          <w:p w14:paraId="2151679D" w14:textId="77777777" w:rsidR="00E6727E" w:rsidRPr="00B90032" w:rsidRDefault="00377C60" w:rsidP="00AE21FC">
            <w:pPr>
              <w:spacing w:after="0" w:line="240" w:lineRule="auto"/>
              <w:rPr>
                <w:rFonts w:ascii="Montserrat" w:hAnsi="Montserrat"/>
                <w:sz w:val="20"/>
                <w:szCs w:val="20"/>
                <w:lang w:val="pl-PL"/>
              </w:rPr>
            </w:pPr>
            <w:r w:rsidRPr="00B90032">
              <w:rPr>
                <w:rFonts w:ascii="Montserrat" w:hAnsi="Montserrat"/>
                <w:sz w:val="20"/>
                <w:szCs w:val="20"/>
                <w:lang w:val="pl-PL"/>
              </w:rPr>
              <w:t xml:space="preserve">Patrick Pagani </w:t>
            </w:r>
          </w:p>
          <w:p w14:paraId="18183244" w14:textId="77777777" w:rsidR="00377C60" w:rsidRPr="00B90032" w:rsidRDefault="00377C60" w:rsidP="00AE21FC">
            <w:pPr>
              <w:spacing w:after="0" w:line="240" w:lineRule="auto"/>
              <w:rPr>
                <w:rFonts w:ascii="Montserrat" w:hAnsi="Montserrat"/>
                <w:sz w:val="20"/>
                <w:szCs w:val="20"/>
                <w:lang w:val="pl-PL"/>
              </w:rPr>
            </w:pPr>
            <w:r w:rsidRPr="00B90032">
              <w:rPr>
                <w:rFonts w:ascii="Montserrat" w:hAnsi="Montserrat"/>
                <w:sz w:val="20"/>
                <w:szCs w:val="20"/>
                <w:lang w:val="pl-PL"/>
              </w:rPr>
              <w:t>Starszy doradca ds. polityki</w:t>
            </w:r>
          </w:p>
          <w:p w14:paraId="063EFAD4" w14:textId="20A68591" w:rsidR="00377C60" w:rsidRPr="00B90032" w:rsidRDefault="00377C60" w:rsidP="00AE21FC">
            <w:pPr>
              <w:rPr>
                <w:rFonts w:ascii="Montserrat" w:hAnsi="Montserrat"/>
                <w:sz w:val="20"/>
                <w:szCs w:val="20"/>
                <w:lang w:val="pl-PL"/>
              </w:rPr>
            </w:pPr>
            <w:r w:rsidRPr="00B90032">
              <w:rPr>
                <w:rStyle w:val="Hyperlink"/>
                <w:sz w:val="20"/>
                <w:szCs w:val="20"/>
                <w:lang w:val="pl-PL"/>
              </w:rPr>
              <w:t>patrick.pagani@copa-cogeca.eu</w:t>
            </w:r>
          </w:p>
        </w:tc>
        <w:tc>
          <w:tcPr>
            <w:tcW w:w="4763" w:type="dxa"/>
          </w:tcPr>
          <w:p w14:paraId="3929416D" w14:textId="69731620" w:rsidR="00E6727E" w:rsidRPr="00B90032" w:rsidRDefault="00441BFC" w:rsidP="00B953B8">
            <w:pPr>
              <w:pStyle w:val="NoSpacing"/>
              <w:rPr>
                <w:rFonts w:ascii="Montserrat" w:hAnsi="Montserrat"/>
                <w:sz w:val="20"/>
                <w:szCs w:val="20"/>
                <w:lang w:val="pl-PL"/>
              </w:rPr>
            </w:pPr>
            <w:r w:rsidRPr="00B90032">
              <w:rPr>
                <w:rFonts w:ascii="Montserrat" w:hAnsi="Montserrat"/>
                <w:sz w:val="20"/>
                <w:szCs w:val="20"/>
                <w:lang w:val="pl-PL"/>
              </w:rPr>
              <w:t>Jean-Baptiste Boucher</w:t>
            </w:r>
          </w:p>
          <w:p w14:paraId="7EBFC517" w14:textId="77FA078A" w:rsidR="00E6727E" w:rsidRPr="00B90032" w:rsidRDefault="00441BFC" w:rsidP="00B953B8">
            <w:pPr>
              <w:pStyle w:val="NoSpacing"/>
              <w:rPr>
                <w:rFonts w:ascii="Montserrat" w:hAnsi="Montserrat"/>
                <w:sz w:val="20"/>
                <w:szCs w:val="20"/>
                <w:lang w:val="pl-PL"/>
              </w:rPr>
            </w:pPr>
            <w:r w:rsidRPr="00B90032">
              <w:rPr>
                <w:rFonts w:ascii="Montserrat" w:hAnsi="Montserrat"/>
                <w:sz w:val="20"/>
                <w:szCs w:val="20"/>
                <w:lang w:val="pl-PL"/>
              </w:rPr>
              <w:t>Dyrektor ds. komunikacji</w:t>
            </w:r>
          </w:p>
          <w:p w14:paraId="1DF90309" w14:textId="4E7E6DA5" w:rsidR="00E6727E" w:rsidRPr="00B90032" w:rsidRDefault="00441BFC" w:rsidP="00B953B8">
            <w:pPr>
              <w:pStyle w:val="NoSpacing"/>
              <w:rPr>
                <w:rFonts w:ascii="Montserrat" w:hAnsi="Montserrat"/>
                <w:sz w:val="20"/>
                <w:szCs w:val="20"/>
                <w:lang w:val="pl-PL"/>
              </w:rPr>
            </w:pPr>
            <w:r w:rsidRPr="00B90032">
              <w:rPr>
                <w:rFonts w:ascii="Montserrat" w:hAnsi="Montserrat"/>
                <w:sz w:val="20"/>
                <w:szCs w:val="20"/>
                <w:lang w:val="pl-PL"/>
              </w:rPr>
              <w:t>+32 474 84 08 36</w:t>
            </w:r>
          </w:p>
          <w:p w14:paraId="74F63786" w14:textId="0818D43B" w:rsidR="00E6727E" w:rsidRPr="00B90032" w:rsidRDefault="00441BFC" w:rsidP="00B953B8">
            <w:pPr>
              <w:rPr>
                <w:rFonts w:ascii="Montserrat" w:hAnsi="Montserrat"/>
                <w:sz w:val="20"/>
                <w:szCs w:val="20"/>
                <w:lang w:val="pl-PL"/>
              </w:rPr>
            </w:pPr>
            <w:r w:rsidRPr="00B90032">
              <w:rPr>
                <w:rStyle w:val="Hyperlink"/>
                <w:rFonts w:ascii="Montserrat" w:hAnsi="Montserrat"/>
                <w:sz w:val="20"/>
                <w:szCs w:val="20"/>
                <w:lang w:val="pl-PL"/>
              </w:rPr>
              <w:t>jean-baptiste.boucher@copa-cogeca.eu</w:t>
            </w:r>
          </w:p>
        </w:tc>
      </w:tr>
    </w:tbl>
    <w:p w14:paraId="0298D421" w14:textId="77777777" w:rsidR="00E6727E" w:rsidRPr="00B90032" w:rsidRDefault="00E6727E" w:rsidP="00135F43">
      <w:pPr>
        <w:rPr>
          <w:lang w:val="pl-PL"/>
        </w:rPr>
      </w:pPr>
    </w:p>
    <w:p w14:paraId="3C0E9B9A" w14:textId="77777777" w:rsidR="00817677" w:rsidRPr="00B90032" w:rsidRDefault="00817677" w:rsidP="00135F43">
      <w:pPr>
        <w:rPr>
          <w:lang w:val="pl-PL"/>
        </w:rPr>
      </w:pPr>
    </w:p>
    <w:p w14:paraId="177443D5" w14:textId="77777777" w:rsidR="00817677" w:rsidRDefault="00817677" w:rsidP="00817677">
      <w:pPr>
        <w:jc w:val="center"/>
      </w:pPr>
      <w:r>
        <w:t xml:space="preserve">Lista </w:t>
      </w:r>
      <w:proofErr w:type="spellStart"/>
      <w:r>
        <w:t>mailingowa</w:t>
      </w:r>
      <w:proofErr w:type="spellEnd"/>
      <w:r>
        <w:t xml:space="preserve"> </w:t>
      </w:r>
      <w:proofErr w:type="spellStart"/>
      <w:r>
        <w:t>komunikatów</w:t>
      </w:r>
      <w:proofErr w:type="spellEnd"/>
      <w:r>
        <w:t xml:space="preserve"> </w:t>
      </w:r>
      <w:proofErr w:type="spellStart"/>
      <w:r>
        <w:t>prasowych</w:t>
      </w:r>
      <w:proofErr w:type="spellEnd"/>
    </w:p>
    <w:p w14:paraId="625B0789" w14:textId="77777777" w:rsidR="00817677" w:rsidRPr="00817677" w:rsidRDefault="00817677" w:rsidP="00817677">
      <w:pPr>
        <w:jc w:val="center"/>
      </w:pPr>
      <w:r>
        <w:rPr>
          <w:noProof/>
          <w:lang w:eastAsia="fr-BE"/>
        </w:rPr>
        <mc:AlternateContent>
          <mc:Choice Requires="wps">
            <w:drawing>
              <wp:anchor distT="0" distB="0" distL="114300" distR="114300" simplePos="0" relativeHeight="251662336" behindDoc="0" locked="0" layoutInCell="1" allowOverlap="1" wp14:anchorId="43E210BB" wp14:editId="52A8AE93">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AEAF276" w14:textId="77777777" w:rsidR="00817677" w:rsidRPr="00817677" w:rsidRDefault="00817677" w:rsidP="00817677">
                            <w:pPr>
                              <w:jc w:val="center"/>
                              <w:rPr>
                                <w:b/>
                                <w:bCs/>
                                <w:color w:val="FFFFFF" w:themeColor="background1"/>
                                <w:sz w:val="20"/>
                                <w:szCs w:val="20"/>
                              </w:rPr>
                            </w:pPr>
                            <w:proofErr w:type="spellStart"/>
                            <w:r>
                              <w:rPr>
                                <w:b/>
                                <w:bCs/>
                                <w:color w:val="FFFFFF" w:themeColor="background1"/>
                                <w:sz w:val="20"/>
                                <w:szCs w:val="20"/>
                              </w:rPr>
                              <w:t>Wypisz</w:t>
                            </w:r>
                            <w:proofErr w:type="spellEnd"/>
                            <w:r>
                              <w:rPr>
                                <w:b/>
                                <w:bCs/>
                                <w:color w:val="FFFFFF" w:themeColor="background1"/>
                                <w:sz w:val="20"/>
                                <w:szCs w:val="20"/>
                              </w:rPr>
                              <w:t xml:space="preserve"> </w:t>
                            </w:r>
                            <w:proofErr w:type="spellStart"/>
                            <w:r>
                              <w:rPr>
                                <w:b/>
                                <w:bCs/>
                                <w:color w:val="FFFFFF" w:themeColor="background1"/>
                                <w:sz w:val="20"/>
                                <w:szCs w:val="20"/>
                              </w:rPr>
                              <w:t>się</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E210BB"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AEAF276"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Wypisz się</w:t>
                      </w:r>
                    </w:p>
                  </w:txbxContent>
                </v:textbox>
              </v:roundrect>
            </w:pict>
          </mc:Fallback>
        </mc:AlternateContent>
      </w:r>
      <w:r>
        <w:rPr>
          <w:noProof/>
          <w:lang w:eastAsia="fr-BE"/>
        </w:rPr>
        <mc:AlternateContent>
          <mc:Choice Requires="wps">
            <w:drawing>
              <wp:anchor distT="0" distB="0" distL="114300" distR="114300" simplePos="0" relativeHeight="251660288" behindDoc="0" locked="0" layoutInCell="1" allowOverlap="1" wp14:anchorId="2C3E12AC" wp14:editId="645F1F15">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5F85465" w14:textId="77777777" w:rsidR="00817677" w:rsidRPr="00817677" w:rsidRDefault="00817677" w:rsidP="00817677">
                            <w:pPr>
                              <w:jc w:val="center"/>
                              <w:rPr>
                                <w:b/>
                                <w:bCs/>
                                <w:color w:val="FFFFFF" w:themeColor="background1"/>
                                <w:sz w:val="20"/>
                                <w:szCs w:val="20"/>
                              </w:rPr>
                            </w:pPr>
                            <w:proofErr w:type="spellStart"/>
                            <w:r>
                              <w:rPr>
                                <w:b/>
                                <w:bCs/>
                                <w:color w:val="FFFFFF" w:themeColor="background1"/>
                                <w:sz w:val="20"/>
                                <w:szCs w:val="20"/>
                              </w:rPr>
                              <w:t>Subskrybuj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3E12AC"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5F854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Subskrybuj</w:t>
                      </w:r>
                    </w:p>
                  </w:txbxContent>
                </v:textbox>
              </v:roundrect>
            </w:pict>
          </mc:Fallback>
        </mc:AlternateContent>
      </w:r>
      <w:bookmarkEnd w:id="0"/>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2EDC9" w14:textId="77777777" w:rsidR="00631AB3" w:rsidRPr="00716D7C" w:rsidRDefault="00631AB3" w:rsidP="00716D7C">
      <w:r>
        <w:separator/>
      </w:r>
    </w:p>
  </w:endnote>
  <w:endnote w:type="continuationSeparator" w:id="0">
    <w:p w14:paraId="3F975A24" w14:textId="77777777" w:rsidR="00631AB3" w:rsidRPr="00716D7C" w:rsidRDefault="00631AB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8B904B64-A2D4-440E-8C36-0E1E83C09800}"/>
    <w:embedBold r:id="rId2" w:fontKey="{7A59E84B-B57E-4186-BDE3-2168D5586EDE}"/>
    <w:embedBoldItalic r:id="rId3" w:fontKey="{65F86775-C581-4903-90CE-E94CFE141D8A}"/>
  </w:font>
  <w:font w:name="Montserrat Light">
    <w:charset w:val="00"/>
    <w:family w:val="auto"/>
    <w:pitch w:val="variable"/>
    <w:sig w:usb0="2000020F" w:usb1="00000003" w:usb2="00000000" w:usb3="00000000" w:csb0="00000197" w:csb1="00000000"/>
    <w:embedRegular r:id="rId4" w:fontKey="{F582D930-A813-4DC0-B521-5D7CEC0A37A8}"/>
    <w:embedBold r:id="rId5" w:fontKey="{B3D1B57E-4E53-4CBF-AC7B-1301096D181F}"/>
  </w:font>
  <w:font w:name="Calibri Light">
    <w:panose1 w:val="020F0302020204030204"/>
    <w:charset w:val="00"/>
    <w:family w:val="swiss"/>
    <w:pitch w:val="variable"/>
    <w:sig w:usb0="E0002AFF" w:usb1="C000247B" w:usb2="00000009" w:usb3="00000000" w:csb0="000001FF" w:csb1="00000000"/>
    <w:embedRegular r:id="rId6" w:fontKey="{208F914A-1487-4A26-9BD4-2FC05F913A58}"/>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7" w:fontKey="{F540D605-75B9-49B5-9C3A-4B61F3F76127}"/>
    <w:embedBold r:id="rId8" w:fontKey="{7F681F36-2FFD-4BF1-9754-0B7A74F417D3}"/>
    <w:embedBoldItalic r:id="rId9" w:fontKey="{50211D14-4CC8-43EC-A744-05E32EB1001C}"/>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DEC2" w14:textId="77777777" w:rsidR="00107120" w:rsidRPr="00B90032" w:rsidRDefault="00107120" w:rsidP="00107120">
    <w:pPr>
      <w:spacing w:after="0"/>
      <w:ind w:left="1134"/>
      <w:rPr>
        <w:rFonts w:ascii="Montserrat" w:hAnsi="Montserrat"/>
        <w:sz w:val="16"/>
        <w:szCs w:val="16"/>
        <w:lang w:val="pl-PL"/>
      </w:rPr>
    </w:pPr>
    <w:r>
      <w:rPr>
        <w:rFonts w:ascii="Montserrat" w:hAnsi="Montserrat"/>
        <w:noProof/>
        <w:color w:val="000000" w:themeColor="text1"/>
        <w:sz w:val="16"/>
        <w:szCs w:val="16"/>
        <w:lang w:eastAsia="fr-BE"/>
      </w:rPr>
      <w:drawing>
        <wp:anchor distT="0" distB="0" distL="114300" distR="114300" simplePos="0" relativeHeight="251661312" behindDoc="1" locked="0" layoutInCell="1" allowOverlap="1" wp14:anchorId="59950930" wp14:editId="458E6C86">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B90032">
      <w:rPr>
        <w:rFonts w:ascii="Montserrat" w:hAnsi="Montserrat"/>
        <w:sz w:val="16"/>
        <w:szCs w:val="16"/>
        <w:lang w:val="pl-PL"/>
      </w:rPr>
      <w:t xml:space="preserve">Copa - Cogeca | Europejscy Rolnicy Europejskie Spółdzielnie Rolnicze </w:t>
    </w:r>
  </w:p>
  <w:p w14:paraId="1F5B8C19"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Rue de Trèves | B - 1040 </w:t>
    </w:r>
    <w:proofErr w:type="spellStart"/>
    <w:r>
      <w:rPr>
        <w:rFonts w:ascii="Montserrat" w:hAnsi="Montserrat"/>
        <w:sz w:val="16"/>
        <w:szCs w:val="16"/>
      </w:rPr>
      <w:t>Bruksela</w:t>
    </w:r>
    <w:proofErr w:type="spellEnd"/>
    <w:r>
      <w:rPr>
        <w:rFonts w:ascii="Montserrat" w:hAnsi="Montserrat"/>
        <w:sz w:val="16"/>
        <w:szCs w:val="16"/>
      </w:rPr>
      <w:t xml:space="preserve"> | www.copa-cogeca.eu  </w:t>
    </w:r>
  </w:p>
  <w:p w14:paraId="161A69D6" w14:textId="77777777" w:rsidR="00107120" w:rsidRPr="00B90032" w:rsidRDefault="00107120" w:rsidP="00107120">
    <w:pPr>
      <w:spacing w:after="0"/>
      <w:ind w:left="1134"/>
      <w:rPr>
        <w:rFonts w:ascii="Montserrat" w:hAnsi="Montserrat"/>
        <w:sz w:val="16"/>
        <w:szCs w:val="16"/>
        <w:lang w:val="pl-PL"/>
      </w:rPr>
    </w:pPr>
    <w:r w:rsidRPr="00B90032">
      <w:rPr>
        <w:rFonts w:ascii="Montserrat" w:hAnsi="Montserrat"/>
        <w:sz w:val="16"/>
        <w:szCs w:val="16"/>
        <w:lang w:val="pl-PL"/>
      </w:rPr>
      <w:t>Numer rejestru służącego przejrzystości UE | Copa 44856881231-49  | Cogeca 09586631237-74</w:t>
    </w:r>
  </w:p>
  <w:p w14:paraId="0E5AE68D" w14:textId="77777777" w:rsidR="00107120" w:rsidRPr="00B90032" w:rsidRDefault="00107120">
    <w:pPr>
      <w:pStyle w:val="Footer"/>
      <w:rPr>
        <w:lang w:val="pl-P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7FC4D" w14:textId="77777777" w:rsidR="00107120" w:rsidRPr="00B90032" w:rsidRDefault="00107120" w:rsidP="00107120">
    <w:pPr>
      <w:spacing w:after="0"/>
      <w:ind w:left="1134"/>
      <w:rPr>
        <w:rFonts w:ascii="Montserrat" w:hAnsi="Montserrat"/>
        <w:sz w:val="16"/>
        <w:szCs w:val="16"/>
        <w:lang w:val="pl-PL"/>
      </w:rPr>
    </w:pPr>
    <w:r>
      <w:rPr>
        <w:rFonts w:ascii="Montserrat" w:hAnsi="Montserrat"/>
        <w:noProof/>
        <w:color w:val="000000" w:themeColor="text1"/>
        <w:sz w:val="16"/>
        <w:szCs w:val="16"/>
        <w:lang w:eastAsia="fr-BE"/>
      </w:rPr>
      <w:drawing>
        <wp:anchor distT="0" distB="0" distL="114300" distR="114300" simplePos="0" relativeHeight="251659264" behindDoc="1" locked="0" layoutInCell="1" allowOverlap="1" wp14:anchorId="3A93616E" wp14:editId="430D93C6">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B90032">
      <w:rPr>
        <w:rFonts w:ascii="Montserrat" w:hAnsi="Montserrat"/>
        <w:sz w:val="16"/>
        <w:szCs w:val="16"/>
        <w:lang w:val="pl-PL"/>
      </w:rPr>
      <w:t xml:space="preserve">Copa - Cogeca | Europejscy Rolnicy Europejskie Spółdzielnie Rolnicze </w:t>
    </w:r>
  </w:p>
  <w:p w14:paraId="1F670A0A"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Rue de Trèves | B - 1040 </w:t>
    </w:r>
    <w:proofErr w:type="spellStart"/>
    <w:r>
      <w:rPr>
        <w:rFonts w:ascii="Montserrat" w:hAnsi="Montserrat"/>
        <w:sz w:val="16"/>
        <w:szCs w:val="16"/>
      </w:rPr>
      <w:t>Bruksela</w:t>
    </w:r>
    <w:proofErr w:type="spellEnd"/>
    <w:r>
      <w:rPr>
        <w:rFonts w:ascii="Montserrat" w:hAnsi="Montserrat"/>
        <w:sz w:val="16"/>
        <w:szCs w:val="16"/>
      </w:rPr>
      <w:t xml:space="preserve"> | www.copa-cogeca.eu  </w:t>
    </w:r>
  </w:p>
  <w:p w14:paraId="4EF8E30B" w14:textId="77777777" w:rsidR="00107120" w:rsidRPr="00B90032" w:rsidRDefault="00107120" w:rsidP="00107120">
    <w:pPr>
      <w:spacing w:after="0"/>
      <w:ind w:left="1134"/>
      <w:rPr>
        <w:rFonts w:ascii="Montserrat" w:hAnsi="Montserrat"/>
        <w:sz w:val="16"/>
        <w:szCs w:val="16"/>
        <w:lang w:val="pl-PL"/>
      </w:rPr>
    </w:pPr>
    <w:r w:rsidRPr="00B90032">
      <w:rPr>
        <w:rFonts w:ascii="Montserrat" w:hAnsi="Montserrat"/>
        <w:sz w:val="16"/>
        <w:szCs w:val="16"/>
        <w:lang w:val="pl-PL"/>
      </w:rPr>
      <w:t>Numer rejestru służącego przejrzystości UE | Copa 44856881231-49  | Cogeca 09586631237-74</w:t>
    </w:r>
  </w:p>
  <w:p w14:paraId="3D2B0CCA" w14:textId="77777777" w:rsidR="00135F43" w:rsidRPr="00B90032" w:rsidRDefault="00135F43">
    <w:pPr>
      <w:pStyle w:val="Footer"/>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0A89" w14:textId="77777777" w:rsidR="00631AB3" w:rsidRPr="00716D7C" w:rsidRDefault="00631AB3" w:rsidP="00716D7C">
      <w:r>
        <w:separator/>
      </w:r>
    </w:p>
  </w:footnote>
  <w:footnote w:type="continuationSeparator" w:id="0">
    <w:p w14:paraId="5200D253" w14:textId="77777777" w:rsidR="00631AB3" w:rsidRPr="00716D7C" w:rsidRDefault="00631AB3" w:rsidP="00716D7C">
      <w:r>
        <w:continuationSeparator/>
      </w:r>
    </w:p>
  </w:footnote>
  <w:footnote w:id="1">
    <w:p w14:paraId="1BC3C9D7" w14:textId="671F4391" w:rsidR="00B90BB2" w:rsidRPr="00B90BB2" w:rsidRDefault="00B90BB2">
      <w:pPr>
        <w:pStyle w:val="FootnoteText"/>
        <w:rPr>
          <w:sz w:val="14"/>
          <w:szCs w:val="14"/>
        </w:rPr>
      </w:pPr>
      <w:bookmarkStart w:id="1" w:name="_Hlk152668347"/>
      <w:r>
        <w:rPr>
          <w:rStyle w:val="FootnoteReference"/>
        </w:rPr>
        <w:footnoteRef/>
      </w:r>
      <w:r>
        <w:t xml:space="preserve"> </w:t>
      </w:r>
      <w:r>
        <w:rPr>
          <w:rStyle w:val="FootnoteReference"/>
          <w:sz w:val="14"/>
          <w:szCs w:val="14"/>
        </w:rPr>
        <w:footnoteRef/>
      </w:r>
      <w:r>
        <w:rPr>
          <w:sz w:val="14"/>
          <w:szCs w:val="14"/>
        </w:rPr>
        <w:t xml:space="preserve"> </w:t>
      </w:r>
      <w:hyperlink r:id="rId1" w:history="1">
        <w:r>
          <w:rPr>
            <w:rStyle w:val="Hyperlink"/>
            <w:sz w:val="14"/>
            <w:szCs w:val="14"/>
          </w:rPr>
          <w:t>https://www.euractiv.com/section/agriculture-food/news/commission-considers-reshuffle-of-top-jobs-amid-calls-for-a-food-chief/</w:t>
        </w:r>
      </w:hyperlink>
      <w:r>
        <w:rPr>
          <w:sz w:val="14"/>
          <w:szCs w:val="14"/>
        </w:rPr>
        <w:t xml:space="preserve"> </w:t>
      </w:r>
    </w:p>
    <w:bookmarkEnd w:id="1"/>
  </w:footnote>
  <w:footnote w:id="2">
    <w:p w14:paraId="2BA52674" w14:textId="6A3A77CF" w:rsidR="00DB66ED" w:rsidRPr="00DB66ED" w:rsidRDefault="00DB66ED">
      <w:pPr>
        <w:pStyle w:val="FootnoteText"/>
      </w:pPr>
      <w:r>
        <w:rPr>
          <w:rStyle w:val="FootnoteReference"/>
        </w:rPr>
        <w:footnoteRef/>
      </w:r>
      <w:r>
        <w:rPr>
          <w:rStyle w:val="Hyperlink"/>
          <w:sz w:val="14"/>
          <w:szCs w:val="14"/>
        </w:rPr>
        <w:t>https://www.consilium.europa.eu/en/press/press-releases/2023/11/20/a-long-term-vision-for-the-eu-s-rural-areas-council-approves-conclusions/</w:t>
      </w:r>
    </w:p>
  </w:footnote>
  <w:footnote w:id="3">
    <w:p w14:paraId="5BA7DCD3" w14:textId="3AEFC29A" w:rsidR="006C3980" w:rsidRPr="00DB66ED" w:rsidRDefault="006C3980">
      <w:pPr>
        <w:pStyle w:val="FootnoteText"/>
      </w:pPr>
      <w:r>
        <w:rPr>
          <w:rStyle w:val="FootnoteReference"/>
        </w:rPr>
        <w:footnoteRef/>
      </w:r>
      <w:r>
        <w:t xml:space="preserve"> </w:t>
      </w:r>
      <w:r>
        <w:rPr>
          <w:rStyle w:val="Hyperlink"/>
          <w:sz w:val="14"/>
          <w:szCs w:val="14"/>
        </w:rPr>
        <w:t>https://commission.europa.eu/strategy-and-policy/priorities-2019-2024/european-green-deal/repowereu-affordable-secure-and-sustainable-energy-europe_en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BD513" w14:textId="77777777" w:rsidR="003D1D89" w:rsidRPr="00B953B8" w:rsidRDefault="003D1D89" w:rsidP="002D57AF">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rPr>
      <w:alias w:val="Insert Logo"/>
      <w:tag w:val="Insert Logo"/>
      <w:id w:val="-1871138787"/>
      <w:picture/>
    </w:sdtPr>
    <w:sdtEndPr/>
    <w:sdtContent>
      <w:p w14:paraId="766F8632" w14:textId="77777777" w:rsidR="00135F43" w:rsidRDefault="00135F43" w:rsidP="00135F43">
        <w:pPr>
          <w:jc w:val="left"/>
          <w:rPr>
            <w:noProof/>
          </w:rPr>
        </w:pPr>
        <w:r>
          <w:rPr>
            <w:noProof/>
            <w:lang w:eastAsia="fr-BE"/>
          </w:rPr>
          <w:drawing>
            <wp:inline distT="0" distB="0" distL="0" distR="0" wp14:anchorId="03E634B7" wp14:editId="3180F067">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2F7C34C2" w14:textId="77777777" w:rsidR="00135F43" w:rsidRDefault="00135F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6C97305"/>
    <w:multiLevelType w:val="hybridMultilevel"/>
    <w:tmpl w:val="D068BD1C"/>
    <w:lvl w:ilvl="0" w:tplc="54DE5B3C">
      <w:start w:val="1"/>
      <w:numFmt w:val="decimal"/>
      <w:lvlText w:val="%1."/>
      <w:lvlJc w:val="left"/>
      <w:pPr>
        <w:ind w:left="720" w:hanging="360"/>
      </w:pPr>
      <w:rPr>
        <w:b w:val="0"/>
        <w:bCs w:val="0"/>
        <w:color w:val="44546A"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BB4"/>
    <w:rsid w:val="00006AB9"/>
    <w:rsid w:val="000331D1"/>
    <w:rsid w:val="000356F5"/>
    <w:rsid w:val="000406CF"/>
    <w:rsid w:val="00071DB6"/>
    <w:rsid w:val="0008105D"/>
    <w:rsid w:val="000B1D84"/>
    <w:rsid w:val="000D0E47"/>
    <w:rsid w:val="000D2B3B"/>
    <w:rsid w:val="000D34BA"/>
    <w:rsid w:val="000F676D"/>
    <w:rsid w:val="00100850"/>
    <w:rsid w:val="00107120"/>
    <w:rsid w:val="00107902"/>
    <w:rsid w:val="00117877"/>
    <w:rsid w:val="0012016A"/>
    <w:rsid w:val="00125A1D"/>
    <w:rsid w:val="0013357E"/>
    <w:rsid w:val="00135F43"/>
    <w:rsid w:val="00146C88"/>
    <w:rsid w:val="0015598F"/>
    <w:rsid w:val="001648FF"/>
    <w:rsid w:val="00165DC9"/>
    <w:rsid w:val="00170592"/>
    <w:rsid w:val="00171312"/>
    <w:rsid w:val="00175F2B"/>
    <w:rsid w:val="00182716"/>
    <w:rsid w:val="00187A93"/>
    <w:rsid w:val="001950AD"/>
    <w:rsid w:val="001A4973"/>
    <w:rsid w:val="001D4B86"/>
    <w:rsid w:val="001E1ED9"/>
    <w:rsid w:val="001F0835"/>
    <w:rsid w:val="001F1C55"/>
    <w:rsid w:val="001F2868"/>
    <w:rsid w:val="00204BB4"/>
    <w:rsid w:val="00215D96"/>
    <w:rsid w:val="002242B4"/>
    <w:rsid w:val="00235A0D"/>
    <w:rsid w:val="00244682"/>
    <w:rsid w:val="002562CB"/>
    <w:rsid w:val="002606E9"/>
    <w:rsid w:val="00260901"/>
    <w:rsid w:val="00272E26"/>
    <w:rsid w:val="002A5087"/>
    <w:rsid w:val="002B0FFD"/>
    <w:rsid w:val="002D4EA5"/>
    <w:rsid w:val="002D57AF"/>
    <w:rsid w:val="002D6A7B"/>
    <w:rsid w:val="002E02A5"/>
    <w:rsid w:val="002F16D4"/>
    <w:rsid w:val="003126C2"/>
    <w:rsid w:val="003142E4"/>
    <w:rsid w:val="00327F42"/>
    <w:rsid w:val="00341D97"/>
    <w:rsid w:val="00350045"/>
    <w:rsid w:val="003503C8"/>
    <w:rsid w:val="003557C1"/>
    <w:rsid w:val="003718E1"/>
    <w:rsid w:val="00372219"/>
    <w:rsid w:val="003747AC"/>
    <w:rsid w:val="00377C60"/>
    <w:rsid w:val="00380165"/>
    <w:rsid w:val="003922AB"/>
    <w:rsid w:val="0039774E"/>
    <w:rsid w:val="003B1D9A"/>
    <w:rsid w:val="003B5070"/>
    <w:rsid w:val="003B68CB"/>
    <w:rsid w:val="003C0EEB"/>
    <w:rsid w:val="003C4C18"/>
    <w:rsid w:val="003D1D89"/>
    <w:rsid w:val="003E29CE"/>
    <w:rsid w:val="003F44AB"/>
    <w:rsid w:val="003F52F3"/>
    <w:rsid w:val="00441BFC"/>
    <w:rsid w:val="00445C22"/>
    <w:rsid w:val="00467BDE"/>
    <w:rsid w:val="00486A5D"/>
    <w:rsid w:val="00492B15"/>
    <w:rsid w:val="004A3955"/>
    <w:rsid w:val="004B2C02"/>
    <w:rsid w:val="004C39C3"/>
    <w:rsid w:val="004C6E40"/>
    <w:rsid w:val="004D1FA4"/>
    <w:rsid w:val="004F6EE0"/>
    <w:rsid w:val="005000A9"/>
    <w:rsid w:val="005202ED"/>
    <w:rsid w:val="0056456D"/>
    <w:rsid w:val="00590988"/>
    <w:rsid w:val="00592F70"/>
    <w:rsid w:val="005E5961"/>
    <w:rsid w:val="00600ED3"/>
    <w:rsid w:val="0060288E"/>
    <w:rsid w:val="00607BB2"/>
    <w:rsid w:val="00631AB3"/>
    <w:rsid w:val="00641635"/>
    <w:rsid w:val="006662C9"/>
    <w:rsid w:val="00671B34"/>
    <w:rsid w:val="006772EB"/>
    <w:rsid w:val="00681DA3"/>
    <w:rsid w:val="00684592"/>
    <w:rsid w:val="006848AB"/>
    <w:rsid w:val="006862CB"/>
    <w:rsid w:val="00686D11"/>
    <w:rsid w:val="006A4601"/>
    <w:rsid w:val="006B673C"/>
    <w:rsid w:val="006B74EB"/>
    <w:rsid w:val="006C0583"/>
    <w:rsid w:val="006C3980"/>
    <w:rsid w:val="006C4A88"/>
    <w:rsid w:val="006E59B7"/>
    <w:rsid w:val="006F5CEF"/>
    <w:rsid w:val="00716D7C"/>
    <w:rsid w:val="007171AE"/>
    <w:rsid w:val="007306AC"/>
    <w:rsid w:val="00734E47"/>
    <w:rsid w:val="00740120"/>
    <w:rsid w:val="007556F3"/>
    <w:rsid w:val="00756DEA"/>
    <w:rsid w:val="00767438"/>
    <w:rsid w:val="00777A2D"/>
    <w:rsid w:val="007818F8"/>
    <w:rsid w:val="0078288C"/>
    <w:rsid w:val="007844E9"/>
    <w:rsid w:val="007A7EC9"/>
    <w:rsid w:val="007B5E6E"/>
    <w:rsid w:val="007B6673"/>
    <w:rsid w:val="007B6D94"/>
    <w:rsid w:val="007B7735"/>
    <w:rsid w:val="007C5E9B"/>
    <w:rsid w:val="007F3E4D"/>
    <w:rsid w:val="00800A86"/>
    <w:rsid w:val="00804AD8"/>
    <w:rsid w:val="00805042"/>
    <w:rsid w:val="00817677"/>
    <w:rsid w:val="00824FE7"/>
    <w:rsid w:val="00850375"/>
    <w:rsid w:val="00851336"/>
    <w:rsid w:val="00860527"/>
    <w:rsid w:val="00864920"/>
    <w:rsid w:val="00865950"/>
    <w:rsid w:val="00867FA8"/>
    <w:rsid w:val="00871AD7"/>
    <w:rsid w:val="008759F9"/>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56C0B"/>
    <w:rsid w:val="009878FD"/>
    <w:rsid w:val="00990273"/>
    <w:rsid w:val="009A546C"/>
    <w:rsid w:val="009D163E"/>
    <w:rsid w:val="009D40C9"/>
    <w:rsid w:val="009D46FE"/>
    <w:rsid w:val="009D5462"/>
    <w:rsid w:val="009E4F3A"/>
    <w:rsid w:val="009F1163"/>
    <w:rsid w:val="00A10C3F"/>
    <w:rsid w:val="00A1126D"/>
    <w:rsid w:val="00A20342"/>
    <w:rsid w:val="00A522F5"/>
    <w:rsid w:val="00A63781"/>
    <w:rsid w:val="00A935F4"/>
    <w:rsid w:val="00A9463E"/>
    <w:rsid w:val="00AB37A7"/>
    <w:rsid w:val="00AB3E9D"/>
    <w:rsid w:val="00AE21FC"/>
    <w:rsid w:val="00AE5E6F"/>
    <w:rsid w:val="00AF6D18"/>
    <w:rsid w:val="00B013FC"/>
    <w:rsid w:val="00B01B09"/>
    <w:rsid w:val="00B22284"/>
    <w:rsid w:val="00B37D8B"/>
    <w:rsid w:val="00B572F1"/>
    <w:rsid w:val="00B631E7"/>
    <w:rsid w:val="00B650F0"/>
    <w:rsid w:val="00B70EDD"/>
    <w:rsid w:val="00B77564"/>
    <w:rsid w:val="00B82409"/>
    <w:rsid w:val="00B828EF"/>
    <w:rsid w:val="00B90032"/>
    <w:rsid w:val="00B90BB2"/>
    <w:rsid w:val="00B941D7"/>
    <w:rsid w:val="00B953B8"/>
    <w:rsid w:val="00BB46F8"/>
    <w:rsid w:val="00BC292D"/>
    <w:rsid w:val="00BC42AC"/>
    <w:rsid w:val="00BD3438"/>
    <w:rsid w:val="00BE0D6B"/>
    <w:rsid w:val="00BE22AC"/>
    <w:rsid w:val="00BF325F"/>
    <w:rsid w:val="00C06EB6"/>
    <w:rsid w:val="00C10337"/>
    <w:rsid w:val="00C20330"/>
    <w:rsid w:val="00C26FE0"/>
    <w:rsid w:val="00C435EA"/>
    <w:rsid w:val="00C5271A"/>
    <w:rsid w:val="00C544BA"/>
    <w:rsid w:val="00C9579E"/>
    <w:rsid w:val="00CA4F69"/>
    <w:rsid w:val="00CC4394"/>
    <w:rsid w:val="00CC4E88"/>
    <w:rsid w:val="00CE19D7"/>
    <w:rsid w:val="00CE4726"/>
    <w:rsid w:val="00CF4B85"/>
    <w:rsid w:val="00D10189"/>
    <w:rsid w:val="00D11777"/>
    <w:rsid w:val="00D1533B"/>
    <w:rsid w:val="00D239FF"/>
    <w:rsid w:val="00D53648"/>
    <w:rsid w:val="00D66617"/>
    <w:rsid w:val="00D72C78"/>
    <w:rsid w:val="00D74193"/>
    <w:rsid w:val="00D83288"/>
    <w:rsid w:val="00D859FE"/>
    <w:rsid w:val="00DA212E"/>
    <w:rsid w:val="00DB1609"/>
    <w:rsid w:val="00DB66ED"/>
    <w:rsid w:val="00DF10D4"/>
    <w:rsid w:val="00DF6217"/>
    <w:rsid w:val="00E05511"/>
    <w:rsid w:val="00E2211C"/>
    <w:rsid w:val="00E25A5E"/>
    <w:rsid w:val="00E34F35"/>
    <w:rsid w:val="00E43164"/>
    <w:rsid w:val="00E510B1"/>
    <w:rsid w:val="00E56AA6"/>
    <w:rsid w:val="00E6727E"/>
    <w:rsid w:val="00E72924"/>
    <w:rsid w:val="00E74A8E"/>
    <w:rsid w:val="00E9016C"/>
    <w:rsid w:val="00E92FBE"/>
    <w:rsid w:val="00E95D41"/>
    <w:rsid w:val="00EA132D"/>
    <w:rsid w:val="00EA1A88"/>
    <w:rsid w:val="00ED1405"/>
    <w:rsid w:val="00ED2188"/>
    <w:rsid w:val="00F05E1E"/>
    <w:rsid w:val="00F145A0"/>
    <w:rsid w:val="00F25A49"/>
    <w:rsid w:val="00F4320D"/>
    <w:rsid w:val="00F52C33"/>
    <w:rsid w:val="00F53D64"/>
    <w:rsid w:val="00F63519"/>
    <w:rsid w:val="00FB6704"/>
    <w:rsid w:val="00FC2281"/>
    <w:rsid w:val="00FE486D"/>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7F1F6"/>
  <w15:chartTrackingRefBased/>
  <w15:docId w15:val="{FAB18834-D3E7-46E1-884A-62E3BCEF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styleId="CommentReference">
    <w:name w:val="annotation reference"/>
    <w:basedOn w:val="DefaultParagraphFont"/>
    <w:uiPriority w:val="99"/>
    <w:semiHidden/>
    <w:unhideWhenUsed/>
    <w:locked/>
    <w:rsid w:val="00A10C3F"/>
    <w:rPr>
      <w:sz w:val="16"/>
      <w:szCs w:val="16"/>
    </w:rPr>
  </w:style>
  <w:style w:type="paragraph" w:styleId="CommentText">
    <w:name w:val="annotation text"/>
    <w:basedOn w:val="Normal"/>
    <w:link w:val="CommentTextChar"/>
    <w:uiPriority w:val="99"/>
    <w:unhideWhenUsed/>
    <w:locked/>
    <w:rsid w:val="00A10C3F"/>
    <w:pPr>
      <w:spacing w:line="240" w:lineRule="auto"/>
    </w:pPr>
    <w:rPr>
      <w:sz w:val="20"/>
      <w:szCs w:val="20"/>
    </w:rPr>
  </w:style>
  <w:style w:type="character" w:customStyle="1" w:styleId="CommentTextChar">
    <w:name w:val="Comment Text Char"/>
    <w:basedOn w:val="DefaultParagraphFont"/>
    <w:link w:val="CommentText"/>
    <w:uiPriority w:val="99"/>
    <w:rsid w:val="00A10C3F"/>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A10C3F"/>
    <w:rPr>
      <w:b/>
      <w:bCs/>
    </w:rPr>
  </w:style>
  <w:style w:type="character" w:customStyle="1" w:styleId="CommentSubjectChar">
    <w:name w:val="Comment Subject Char"/>
    <w:basedOn w:val="CommentTextChar"/>
    <w:link w:val="CommentSubject"/>
    <w:uiPriority w:val="99"/>
    <w:semiHidden/>
    <w:rsid w:val="00A10C3F"/>
    <w:rPr>
      <w:rFonts w:ascii="Montserrat Light" w:hAnsi="Montserrat Light"/>
      <w:b/>
      <w:bCs/>
      <w:color w:val="404040" w:themeColor="text1" w:themeTint="BF"/>
      <w:sz w:val="20"/>
      <w:szCs w:val="20"/>
    </w:rPr>
  </w:style>
  <w:style w:type="paragraph" w:styleId="Revision">
    <w:name w:val="Revision"/>
    <w:hidden/>
    <w:uiPriority w:val="99"/>
    <w:semiHidden/>
    <w:rsid w:val="000331D1"/>
    <w:pPr>
      <w:spacing w:after="0" w:line="240" w:lineRule="auto"/>
    </w:pPr>
    <w:rPr>
      <w:rFonts w:ascii="Montserrat Light" w:hAnsi="Montserrat Light"/>
      <w:color w:val="404040" w:themeColor="text1" w:themeTint="BF"/>
    </w:rPr>
  </w:style>
  <w:style w:type="paragraph" w:styleId="FootnoteText">
    <w:name w:val="footnote text"/>
    <w:basedOn w:val="Normal"/>
    <w:link w:val="FootnoteTextChar"/>
    <w:uiPriority w:val="99"/>
    <w:semiHidden/>
    <w:unhideWhenUsed/>
    <w:locked/>
    <w:rsid w:val="006C39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3980"/>
    <w:rPr>
      <w:rFonts w:ascii="Montserrat Light" w:hAnsi="Montserrat Light"/>
      <w:color w:val="404040" w:themeColor="text1" w:themeTint="BF"/>
      <w:sz w:val="20"/>
      <w:szCs w:val="20"/>
    </w:rPr>
  </w:style>
  <w:style w:type="character" w:styleId="FootnoteReference">
    <w:name w:val="footnote reference"/>
    <w:basedOn w:val="DefaultParagraphFont"/>
    <w:uiPriority w:val="99"/>
    <w:semiHidden/>
    <w:unhideWhenUsed/>
    <w:locked/>
    <w:rsid w:val="006C3980"/>
    <w:rPr>
      <w:vertAlign w:val="superscript"/>
    </w:rPr>
  </w:style>
  <w:style w:type="character" w:styleId="FollowedHyperlink">
    <w:name w:val="FollowedHyperlink"/>
    <w:basedOn w:val="DefaultParagraphFont"/>
    <w:uiPriority w:val="99"/>
    <w:semiHidden/>
    <w:unhideWhenUsed/>
    <w:locked/>
    <w:rsid w:val="000F67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92538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euractiv.com/section/agriculture-food/news/commission-considers-reshuffle-of-top-jobs-amid-calls-for-a-food-chie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2C4733BFB547A29DE112D9911DB19E"/>
        <w:category>
          <w:name w:val="General"/>
          <w:gallery w:val="placeholder"/>
        </w:category>
        <w:types>
          <w:type w:val="bbPlcHdr"/>
        </w:types>
        <w:behaviors>
          <w:behavior w:val="content"/>
        </w:behaviors>
        <w:guid w:val="{977C63AE-1FA8-439D-B183-822DEC46B7BD}"/>
      </w:docPartPr>
      <w:docPartBody>
        <w:p w:rsidR="009C4AAD" w:rsidRDefault="009C4AAD">
          <w:pPr>
            <w:pStyle w:val="5A2C4733BFB547A29DE112D9911DB19E"/>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AAD"/>
    <w:rsid w:val="006753FB"/>
    <w:rsid w:val="009C4AA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fr-BE" w:eastAsia="fr-BE"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A2C4733BFB547A29DE112D9911DB19E">
    <w:name w:val="5A2C4733BFB547A29DE112D9911DB1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C6252D-EB5A-4EF5-89F1-343AF9921451}">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7F1E7-44CE-43A9-BAA8-65E9538129D0}">
  <ds:schemaRefs>
    <ds:schemaRef ds:uri="http://schemas.openxmlformats.org/package/2006/metadata/core-properties"/>
    <ds:schemaRef ds:uri="http://schemas.microsoft.com/office/2006/documentManagement/types"/>
    <ds:schemaRef ds:uri="http://purl.org/dc/dcmitype/"/>
    <ds:schemaRef ds:uri="b073dc0b-c155-4f91-94b4-670be88b0342"/>
    <ds:schemaRef ds:uri="http://schemas.microsoft.com/office/2006/metadata/properties"/>
    <ds:schemaRef ds:uri="http://purl.org/dc/elements/1.1/"/>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6C617623-AEFE-4496-B07C-289C6F384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998</Words>
  <Characters>5494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Ewa Mis</cp:lastModifiedBy>
  <cp:revision>3</cp:revision>
  <cp:lastPrinted>2023-12-05T10:34:00Z</cp:lastPrinted>
  <dcterms:created xsi:type="dcterms:W3CDTF">2023-12-05T13:19:00Z</dcterms:created>
  <dcterms:modified xsi:type="dcterms:W3CDTF">2023-12-06T13:47:00Z</dcterms:modified>
</cp:coreProperties>
</file>

<file path=docProps/custom.xml><?xml version="1.0" encoding="utf-8"?>
<op:Properties xmlns:vt="http://schemas.openxmlformats.org/officeDocument/2006/docPropsVTypes" xmlns:op="http://schemas.openxmlformats.org/officeDocument/2006/custom-properties"/>
</file>